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ACJC/810/2015 vom 6. Juli 2015</w:t>
      </w:r>
    </w:p>
    <w:p>
      <w:r>
        <w:t>GE Cour de justice, 2015-07-06, FR</w:t>
      </w:r>
    </w:p>
    <w:p>
      <w:r>
        <w:rPr>
          <w:b/>
        </w:rPr>
        <w:t xml:space="preserve">Quelle: </w:t>
      </w:r>
      <w:r>
        <w:t>https://mcp.opencaselaw.ch/entscheid/ge_gerichte_ACJC_810_2015</w:t>
      </w:r>
    </w:p>
    <w:p>
      <w:r>
        <w:t>FR: GE_GERICHTE ACJC/810/2015 du 6 juillet 2015</w:t>
      </w:r>
    </w:p>
    <w:p>
      <w:r>
        <w:t>IT: GE_GERICHTE ACJC/810/2015 del 6 luglio 2015</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w:t>
      </w:r>
    </w:p>
    <w:p>
      <w:r>
        <w:rPr>
          <w:b/>
        </w:rPr>
        <w:t>E. 1.2</w:t>
      </w:r>
    </w:p>
    <w:p>
      <w:r>
        <w:t>Le recours, écrit et motivé, doit être formé dans un délai de dix jours à compter de la notification de la décision (art. 321 al. 1 et 2 CPC).</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Code de procédure civile commenté, Bâle, 2011, 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w:t>
      </w:r>
    </w:p>
    <w:p>
      <w:r>
        <w:t>- 4/8 -</w:t>
      </w:r>
    </w:p>
    <w:p>
      <w:r>
        <w:t>C/23098/2014 querellé, reproche que l'instance de recours doit pouvoir comprendre, sans avoir à rechercher des griefs par elle-même (JEANDIN, op. cit., n. 3 ad art. 311 CPC; REETZ/THEILER, op. cit., n. 38 ad art. 311 CPC; ACJC/672/2011 consid. 2).</w:t>
      </w:r>
    </w:p>
    <w:p>
      <w:r>
        <w:t>En l'espèce, le recours, formé par acte expédié le 17 janvier 2015 contre l'ordonnance notifiée le 12 janvier 2015, l'a été en temps utile. La motivation de l'acte, interprété avec indulgence s'agissant d'un plaideur agissant en personne, est suffisante, dans la mesure où la Cour comprend que la recourante reproche au Tribunal d'avoir considéré qu'elle n'avait pas établi le montant de sa créance. Le recours est ainsi recevable.</w:t>
      </w:r>
    </w:p>
    <w:p>
      <w:r>
        <w:rPr>
          <w:b/>
        </w:rPr>
        <w:t>E. 2.1</w:t>
      </w:r>
    </w:p>
    <w:p>
      <w:r>
        <w:t>La procédure de séquestre est soumise dans toutes ses phases à la maxime de disposition et à la maxime des débats (art. 58 et 255 a contrario CPC).</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t>2.3.1 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w:t>
      </w:r>
    </w:p>
    <w:p>
      <w:r>
        <w:t>- 5/8 -</w:t>
      </w:r>
    </w:p>
    <w:p>
      <w:r>
        <w:t>C/23098/2014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La juridiction de recours doit statuer sur l'état de fait identique à celui soumis au premier juge (CHAIX, L'apport des faits au procès in SJ 2009 II 267; HOFMANN/LUSCHER, Le code de procédure civile 2009 p. 202). Partant, pour examiner si la loi a été violée, la Cour doit se placer dans la situation où se trouvait le premier juge lorsqu'il a rendu la décision attaquée.</w:t>
      </w:r>
    </w:p>
    <w:p>
      <w:r>
        <w:t>2.3.2 Au vu de ce qui précède, les pièces nouvelles produites par la recourante avec son recours, ainsi que celles expédiées à la Cour le 30 janvier 2015 (de surcroît déposées après l'échéance du délai de recours), sont irrecevables et la Cour examinera la cause sur la base des faits exposés ci-dessus dans la partie en fait, sous let. A.</w:t>
      </w:r>
    </w:p>
    <w:p>
      <w:r>
        <w:rPr>
          <w:b/>
        </w:rPr>
        <w:t>E. 3</w:t>
      </w:r>
    </w:p>
    <w:p>
      <w:r>
        <w:t>Comme indiqué, la recourante fait grief au Tribunal d'avoir considéré qu'elle n'avait pas rendu vraisemblable le montant de sa créance.</w:t>
      </w:r>
    </w:p>
    <w:p>
      <w:r>
        <w:rPr>
          <w:b/>
        </w:rPr>
        <w:t>E. 3.1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w:t>
      </w:r>
    </w:p>
    <w:p>
      <w:r>
        <w:t>- 6/8 -</w:t>
      </w:r>
    </w:p>
    <w:p>
      <w:r>
        <w:t>C/23098/2014 l'al. 2, lorsque le créancier est domicilié à l'étranger et qu'il n'a pas élu domicile en Suisse, il est réputé domicilié à l'Office des poursuites.</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et le montant de la prétention qu'il allègue (GILLIERON, Commentaire de la loi fédérale sur la poursuite pour dettes et la faillite, 2003, n. 27 ad art. 272 LP).</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w:t>
      </w:r>
    </w:p>
    <w:p>
      <w:r>
        <w:rPr>
          <w:b/>
        </w:rPr>
        <w:t>E. 3.3</w:t>
      </w:r>
    </w:p>
    <w:p>
      <w:r>
        <w:t>Doit obligatoirement être affilié à une caisse d'allocations familiales tout employeur qui possède un établissement stable dans le canton ou, à défaut d'un tel établissement, s'il y est domicilié (art. 23 al. 1 LAF). Les salariés au service d'un employeur tenu de s'affilier à une caisse d'allocations familiales sont soumis à la LAF et peuvent bénéficier des prestations pour les enfants avec lesquels ils ont un lien de filiation en vertu du code civil (art. 2 et 3 LAF). L'allocation pour enfant est de 300 fr. par mois pour l'enfant jusqu'à 16 ans (art. 8 al. 2 let. a LAF).</w:t>
      </w:r>
    </w:p>
    <w:p>
      <w:r>
        <w:t>- 7/8 -</w:t>
      </w:r>
    </w:p>
    <w:p>
      <w:r>
        <w:t>C/23098/2014</w:t>
      </w:r>
    </w:p>
    <w:p>
      <w:r>
        <w:t>L'Etat dans lequel est exercée l'activité lucrative est compétent pour verser les allocations familiales (art. 3C al. 1 LAF). Lorsque les deux parents exercent une activité lucrative dans différents Etats, dont l'un constitue également le domicile des enfants, ce dernier est seul compétent (art. 3C al. 2 LAF).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(art,. 3C al. 3 LAF).</w:t>
      </w:r>
    </w:p>
    <w:p>
      <w:r>
        <w:rPr>
          <w:b/>
        </w:rPr>
        <w:t>E. 3.4</w:t>
      </w:r>
    </w:p>
    <w:p>
      <w:r>
        <w:t>En l'espèce, la recourante, par ses allégations, ainsi que par la production de l'ordonnance du 13 juin 2013 du Tribunal de grande instance de Thonon-les-Bains et de la lettre du 13 août 2014 de E______ - seules pièces que la Cour peut prendre en considération - a rendu vraisemblable que B______ perçoit des allocations pour enfant de la Caisse de compensation de son employeur sis à Genève, qu'elle-même est au bénéfice d'allocations familiales versées en France et qu'elle a droit à recevoir de son époux le complément différentiel prévu par l'art. 3C al. 3 LAF. En revanche, elle n'a rendu vraisemblable ni le montant de ce complément différentiel, ni son droit à percevoir ledit complément pour la période précédant le 13 juin 2013, date du prononcé de l'ordonnance française.</w:t>
      </w:r>
    </w:p>
    <w:p>
      <w:r>
        <w:t>Ainsi, en retenant que la recourante n'avait pas rendu vraisemblable l'existence de sa créance, le Tribunal n'a pas violé la loi.</w:t>
      </w:r>
    </w:p>
    <w:p>
      <w:r>
        <w:t>Le recours sera en conséquence rejeté. 4. Les frais judiciaires du recours seront arrêtés à 600 fr. (art. 48 et 61 al. 1 OELP). Ils seront mis à la charge de la recourante, qui succombe (art. 106 al. 1 CPC), et provisoirement supportés par l'Etat, étant rappelé que les bénéficiaires de l'assistance juridique sont tenus au remboursement des frais judiciaires mis à la charge de l'Etat dans la mesure de l'art. 123 CPC. * * * * *</w:t>
      </w:r>
    </w:p>
    <w:p>
      <w:r>
        <w:t>- 8/8 -</w:t>
      </w:r>
    </w:p>
    <w:p>
      <w:r>
        <w:t>C/23098/2014 PAR CES MOTIFS, La Chambre civile : A la forme : Déclare recevable le recours interjeté le 17 janvier 2015 par A______ contre l'ordonnance SQ/3/2015 rendue le 8 janvier 2015 par le Tribunal de première instance dans la cause C/23098/2014-19 SQP. Au fond : Le rejette. Déboute A______ de toutes autres conclusions. Sur les frais : Arrête les frais judiciaires du recours à 600 fr., les met à la charge de A______ et dit qu'ils seront provisoirement supportés par l'Etat de Genève.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2.1). De son côté, le juge doit procéder à un examen sérieux des allégations du créancier et des documents produits;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