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ACJC/80/2024 vom 23. Januar 2024</w:t>
      </w:r>
    </w:p>
    <w:p>
      <w:r>
        <w:t>GE Cour de justice, 2024-01-23, FR</w:t>
      </w:r>
    </w:p>
    <w:p>
      <w:r>
        <w:rPr>
          <w:b/>
        </w:rPr>
        <w:t xml:space="preserve">Quelle: </w:t>
      </w:r>
      <w:r>
        <w:t>https://mcp.opencaselaw.ch/entscheid/ge_gerichte_ACJC_80_2024</w:t>
      </w:r>
    </w:p>
    <w:p>
      <w:r>
        <w:t>FR: GE_GERICHTE ACJC/80/2024 du 23 janvier 2024</w:t>
      </w:r>
    </w:p>
    <w:p>
      <w:r>
        <w:t>IT: GE_GERICHTE ACJC/80/2024 del 23 gennaio 2024</w:t>
      </w:r>
    </w:p>
    <w:p>
      <w:pPr>
        <w:pStyle w:val="Heading2"/>
      </w:pPr>
      <w:r>
        <w:t>Erwägungen</w:t>
      </w:r>
    </w:p>
    <w:p>
      <w:r>
        <w:rPr>
          <w:b/>
        </w:rPr>
        <w:t>E. 1.1</w:t>
      </w:r>
    </w:p>
    <w:p>
      <w:r>
        <w:t>Dans les affaires patrimoniales, l'appel est recevable contre les décisions finales de première instance lorsque la valeur litigieuse au dernier état des conclusions est de 10'000 fr. au moins (art. 308 al. 1 et 2 CPC). La créance litigieuse qui fait l'objet des poursuites dont l'annulation est requise s'élève à 220'000 fr., de sorte que la voie de l'appel est ouverte. Interjeté dans le délai utile et selon la forme prescrite par la loi (art. 130, 131, 142 al. 1 et 311 al. 1 CPC), l'appel est recevable.</w:t>
      </w:r>
    </w:p>
    <w:p>
      <w:r>
        <w:rPr>
          <w:b/>
        </w:rPr>
        <w:t>E. 1.2</w:t>
      </w:r>
    </w:p>
    <w:p>
      <w:r>
        <w:t>La procédure est soumise à la maxime des débats (art. 55 al. 1 CPC) et au principe de disposition (art. 58 al. 1 CPC).</w:t>
      </w:r>
    </w:p>
    <w:p>
      <w:r>
        <w:t>- 7/12 -</w:t>
      </w:r>
    </w:p>
    <w:p>
      <w:r>
        <w:t>C/20397/2021</w:t>
      </w:r>
    </w:p>
    <w:p>
      <w:r>
        <w:rPr>
          <w:b/>
        </w:rPr>
        <w:t>E. 1.3</w:t>
      </w:r>
    </w:p>
    <w:p>
      <w:r>
        <w:t>La Cour revoit la cause avec un plein pouvoir d'examen en fait et en droit (art. 310 CPC), dans la limite des griefs suffisamment motivés qui sont formulés (ATF 142 III 413 consid. 2.2.4 et les références citées).</w:t>
      </w:r>
    </w:p>
    <w:p>
      <w:r>
        <w:rPr>
          <w:b/>
        </w:rPr>
        <w:t>E. 2</w:t>
      </w:r>
    </w:p>
    <w:p>
      <w:r>
        <w:t>L'appelant soutient que la créance de 220'000 fr. envers B______ déduite en poursuites n'est pas due. Il fait valoir que la convention du 22 avril 2010 était conditionnée à la réception des fonds provenant de "l'opération de E______", qui n'est jamais intervenue. Par ailleurs, il allègue que ladite convention constitue un contrat de cautionnement et qu'en l'absence de la forme authentique, elle serait nulle.</w:t>
      </w:r>
    </w:p>
    <w:p>
      <w:r>
        <w:t>2.1.1 Que la poursuite ait été frappée d'opposition ou non, le débiteur poursuivi peut agir en tout temps au for de la poursuite pour faire constater que la dette n'existe pas ou plus, ou qu'un sursis a été accordé (art. 85a al. 1 LP). L'action prévue par cette disposition a une double nature : elle déploie à la fois des effets de droit matériel et de droit des poursuites (ATF 129 III 197 consid. 2.1; 125 III 149 consid. 2.c). En tant qu'action de droit matériel, elle a pour effet, tout comme l'action en libération de dette et contrairement à l'action prévue à l'art. 85 LP, de constater que la dette n'existe pas ou plus. En outre, l'action fondée sur l'art. 85a LP a pour effet, en matière de droit des poursuites, que le juge annule ou suspend la poursuite en cas de succès, comme dans la procédure selon l'art. 85 LP (BANGERT, in Basler Kommentar SchKG, 3e éd., 2021, n. 3 ad art. 85a LP).</w:t>
      </w:r>
    </w:p>
    <w:p>
      <w:r>
        <w:t>2.1.2 Aux termes de l'art. 17 CO, la reconnaissance d'une dette est valable, même si elle n'énonce pas la cause de l'obligation. Elle présente deux aspects. Premièrement, du point de vue matériel, la reconnaissance de dette renferme une promesse de payer et, partant, donne naissance à une dette dont le contenu est identique à celui de la dette reconnue, de sorte que le créancier peut désormais se fonder sur cette seule reconnaissance pour réclamer le paiement au débiteur; il n'en demeure pas moins que la validité de cette dette demeure subordonnée à la validité de la dette primitive, qui devait exister au moment de la reconnaissance de dette (arrêts du Tribunal fédéral 5A_688/2022 du 23 novembre 2022 consid. 4.1.2; 4A_600/2018 du 1er avril 2019 consid. 5.2; 4A_69/2018 du 12 février 2019 consid. 5.1). Deuxièmement, du point de vue de la preuve, le créancier qui produit la reconnaissance de dette n'a pas à prouver la cause de sa créance, ni la réalisation d'autres conditions que celles qui sont indiquées dans cet acte. L'art. 17 CO n'a toutefois pas d'incidence sur l'existence matérielle de l'obligation du débiteur, mais a seulement pour effet de renverser le fardeau de la preuve: il appartient en effet au débiteur qui conteste la dette d'établir quelle est la cause de l'obligation et de démontrer que cette cause n'est pas valable, par exemple parce que le rapport</w:t>
      </w:r>
    </w:p>
    <w:p>
      <w:r>
        <w:t>- 8/12 -</w:t>
      </w:r>
    </w:p>
    <w:p>
      <w:r>
        <w:t>C/20397/2021 juridique à la base de la reconnaissance est inexistant, nul (art. 19 et 20 CO), invalidé ou simulé (art. 18 al. 1 CO). Il peut de manière générale se prévaloir de toutes les objections et exceptions (exécution, remise de dette, exception de l'inexécution, prescription, etc.) qui sont dirigées contre la dette reconnue (ATF 131 III 268 consid. 3.2; 127 III 559 consid. 4a; 105 II 183 consid. 4a; arrêt 4A_8/2020 du 9 avril 2020 consid. 4.2). 2.1.3 Aux termes de l'art. 18 al. 1 CO, pour apprécier la forme et les clauses d'un contrat, il y a lieu de rechercher la réelle et commune intention des parties, sans s'arrêter aux expressions ou dénominations inexactes dont elles ont pu se servir, soit par erreur, soi pour déguiser la nature véritable de la convention.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(ATF 144 III 93 consid. 5.2.2; arrêts du Tribunal fédéral 4A_643/2020 du 22 octobre 2021 consid. 4.2.1; 4A_498/2018 du 11 avril 2019 consid. 5.1.1). 2.1.4 Le cautionnement est un contrat par lequel une personne s’engage envers le créancier à garantir le paiement de la dette contractée par le débiteur (art. 492 al. 1 CO). Aux termes de l'art. 492 al. 2 CO, lorsque la caution est une personne physique, la déclaration de cautionnement doit revêtir la forme authentique conformément aux règles en vigueur au lieu où l'acte est dressé.</w:t>
      </w:r>
    </w:p>
    <w:p>
      <w:r>
        <w:rPr>
          <w:b/>
        </w:rPr>
        <w:t>E. 2.2</w:t>
      </w:r>
    </w:p>
    <w:p>
      <w:r>
        <w:t>En l'espèce, l'appelant a reconnu à plusieurs reprises après l'exécution de la garantie bancaire devoir rembourser à l'intimé la créance déduite en poursuite. Entre la signature de la convention du 22 avril 2010 et l'introduction de la présente procédure en octobre 2021, il n'a jamais contesté ni le principe, ni le montant de ladite créance qu'il s'est engagé à la payer "jusqu'au dernier centime dans tous les cas de figure". L'appelant ne conteste d'ailleurs pas l'existence d'une reconnaissance de dette, avec la conséquence d'un renversement du fardeau de la preuve, incombant à ce dernier de prouver que la prestation n'est pas due.</w:t>
      </w:r>
    </w:p>
    <w:p>
      <w:r>
        <w:t>Afin de contester la créance, l'appelant se livre à sa propre interprétation de la convention du 22 avril 2010. D'une part, il prétend que son engagement tel qu'il</w:t>
      </w:r>
    </w:p>
    <w:p>
      <w:r>
        <w:t>- 9/12 -</w:t>
      </w:r>
    </w:p>
    <w:p>
      <w:r>
        <w:t>C/20397/2021 en ressort de verser à l'intimé le montant total de 220'000 fr. était conditionné à la réception des fonds provenant de l'opération de E______, avant de soutenir, d'autre part, que ladite convention serait nulle en raison du fait qu'elle ne respecterait pas la forme authentique telle que prescrite pour les contrats de cautionnement.</w:t>
      </w:r>
    </w:p>
    <w:p>
      <w:r>
        <w:t>Le texte de la convention est cependant clair. Le préambule mentionne que l'appelant versera à l'intimé le capital plus la prime convenue avant l'échéance de la garantie, sans aucune autre condition. L'art. 2 prévoit que le paiement par l'appelant devait intervenir "dès que" la banque G______ aurait reçu les fonds destinés au financement de l'opération de E______. Comme l'a retenu à juste titre le Tribunal, mise en relation avec le préambule, la locution "dès que" n'apparait pas comme une condition suspensive mais comme une indication temporelle, en ce sens que le remboursement devait intervenir en tous les cas avant l'échéance de la garantie, mais aussitôt que les fonds seraient délivrés dans le but de dédommager l'intimé le plus rapidement possible. A aucun endroit, il n'est stipulé que le paiement en question dépendrait, dans son principe, des fonds reçus pour l'opération de E______ ou soumis à une quelconque condition, la convention ayant pourtant été rédigée par l'appelant lui-même, au bénéfice de compétences juridiques.</w:t>
      </w:r>
    </w:p>
    <w:p>
      <w:r>
        <w:t>Quant au contexte dans lequel cette convention a été signée, il ressort du dossier que C______ a demandé à l'appelant de lui prêter la somme de 200'000 fr., mais que ce dernier n'avait pas de liquidités suffisantes, se tournant alors vers l'intimé. C'était ainsi l'appelant qui était, en premier lieu, supposé mettre les fonds à disposition de la société en sursis concordataire. Contrairement à celui-ci, l'intimé n'entretenait aucune relation d'amitié ni de relation d'affaires avec C______ ou sa société D______ SA et n'avait aucun intérêt à constituer la garantie bancaire demandée, si ce n'est rendre service à l'appelant, en tant qu'ami de collège. La prime de 10% en sus de la somme de 200'000 fr. tendait ainsi à rémunérer ce service et la mise à disposition immédiate des fonds nécessaires. Pour sa part, l'appelant menait différentes affaires immobilières avec la société D______ SA, comme cela ressort du préambule de la convention, et avait donc intérêt à ce que la procédure d'homologation se poursuive. Les échanges de correspondances intervenus entre les parties et en particulier ceux du 24 septembre 2010 tendent à confirmer que c'est bien l'intimé qui est intervenu à la demande de l'appelant et a voulu donner un "coup de main " à ce dernier en toute confiance et non l'inverse comme l'a prétendu l'appelant lors de l'audience du 10 janvier 2023. Enfin, le fait que l'appelant se porte "garant indirect" pour la mise en place de la garantie bancaire en faveur de D______ SA et s'engage à rembourser à l'intimé le montant de ladite garantie bancaire aussitôt qu'il percevrait une rentrée d'argent attendue le mois suivant, laisse à penser que c'est bien l'appelant qui entendait assumer le risque de la garantie bancaire et que le rôle assumé par l'intimé se limitait à mettre</w:t>
      </w:r>
    </w:p>
    <w:p>
      <w:r>
        <w:t>- 10/12 -</w:t>
      </w:r>
    </w:p>
    <w:p>
      <w:r>
        <w:t>C/20397/2021 à disposition le fonds nécessaires, temporairement, le temps que l'appelant comble son manque de liquidités.</w:t>
      </w:r>
    </w:p>
    <w:p>
      <w:r>
        <w:t>Ce constat s'impose d'autant plus au vu du comportement ultérieur des parties et de l'appelant lui-même qui, pendant plus de dix ans, a tenté de trouver des solutions de financement pour s'acquitter de la créance litigieuse, sans jamais la remettre en question ni soulever la moindre réserve à son égard. Il n'a formé aucune opposition aux démarches de recouvrement entreprises à son encontre et s'est même engagé à régler la dette litigieuse devant l'Office des poursuites, se comportant ainsi comme le débiteur de l'intimé. Dès lors, il y a lieu de retenir que les parties avaient la réelle et commune intention que l'appelant rembourse le montant de 220'000 fr. à l'intimé, sans condition.</w:t>
      </w:r>
    </w:p>
    <w:p>
      <w:r>
        <w:t>Enfin, l'appelant ne peut être suivi lorsqu'il prétend que le contrat serait en réalité un contrat de cautionnement. Il s'est en effet engagé à rembourser directement l'intimé et non une dette de ce dernier envers le tiers, au cas où il ne s'exécuterait pas. A suivre l'argument de l'appelant, il existerait un "accord parallèle" entre l'intimé et C______, en vertu duquel le premier précité aurait prêté au second le montant de 200'000 fr. Parallèlement, l'appelant se serait obligé en qualité de garant de la dette de C______, débiteur principal. Ces allégations ne sont toutefois corroborées par aucun élément probant. Au contraire, l'engagement de remboursement que l'appelant a contracté par le biais de la convention porte sur une obligation contractée à son nom et pour son propre compte. Dite convention ne rend en aucun cas C______ ou D______ SA débiteur envers l'intimé, ces derniers n'étant de surcroît pas parties à la convention. Si l'appelant entendait intervenir comme tiers caution comme il le soutient, il l'aurait certainement, en sa qualité de juriste, mentionné dans la convention, laquelle a été spécifiquement établie pour définir le rapport entre les parties. Rien dans la convention, ou dans tout autre document, ne permet de retenir l'existence d'un second rapport juridique liant l'intimé à C______. L'intimé a d'ailleurs confirmé en audience tenue devant le Tribunal n'avoir jamais discuté avec celui-ci avant la signature de la convention. Aussi, si l'appelant considérait que C______ était le débiteur principal, il se serait adressé à ce dernier pour régler la somme litigieuse en lieu et place de rechercher diverses solutions de financement auprès de différents tiers. C'est en vain que l'appelant tente de se prévaloir de certains propos tenus par l'intimé pour établir l'existence de ce prétendu "accord parallèle". On ne saurait déduire un quelconque accord entre C______ et l'intimé des explications de ce dernier ou de son courrier du 28 septembre 2010, à teneur duquel il indiquait que C______ était maintenant parti sans même respecter ses engagements de trouver avec A______ une solution de remboursement.</w:t>
      </w:r>
    </w:p>
    <w:p>
      <w:r>
        <w:t>- 11/12 -</w:t>
      </w:r>
    </w:p>
    <w:p>
      <w:r>
        <w:t>C/20397/2021 Au vu de ce qui précède, l'appelant échoue à démontrer l'inexistence de la créance déduite en poursuite. Se prévaloir de l'inefficacité, voire de la nullité de la convention qu'il a lui-même rédigée et tenté d'exécuter pendant plus de dix ans frise la témérité. Infondé, l'appel sera rejeté.</w:t>
      </w:r>
    </w:p>
    <w:p>
      <w:r>
        <w:rPr>
          <w:b/>
        </w:rPr>
        <w:t>E. 3</w:t>
      </w:r>
    </w:p>
    <w:p>
      <w:r>
        <w:t>Les frais de la procédure d'appel seront arrêtés à 4'000 fr. (art. 17 et 35 RTFMC), mis à la charge de l'appelant, qui succombe (art. 106 al. 1 CPC), et compensés avec l'avance de frais fournie du même montant par ce dernier, qui reste acquise à l'Etat de Genève (art. 111 al. 1 CPC).</w:t>
      </w:r>
    </w:p>
    <w:p>
      <w:r>
        <w:t>L'appelant sera, en outre, condamné aux dépens d'appel de l'intimé, arrêtés à 5'000 fr., débours et TVA compris (art. 84, 85 et 90 RTFMC, art. 20, 25 et 26 LaCC). * * * * *</w:t>
      </w:r>
    </w:p>
    <w:p>
      <w:r>
        <w:t>- 12/12 -</w:t>
      </w:r>
    </w:p>
    <w:p>
      <w:r>
        <w:t>C/20397/2021 PAR CES MOTIFS, La Chambre civile : A la forme : Déclare recevable l'appel interjeté le 29 mars 2023 par A______ contre le jugement JTPI/2496/2023 rendu le 22 février 2023 par le Tribunal de première instance dans la cause C/20397/2021. Au fond : Confirme le jugement entrepris. Sur les frais : Arrête les frais judiciaires d'appel à 4'000 fr., les met à la charge de A______ et les compense avec l'avance de frais fournie, qui reste acquise à l'Etat de Genève. Condamne A______ à payer à B______ la somme de 5'000 fr. à titre de dépens d'appel. Siégeant : Monsieur Cédric-Laurent MICHEL, président; Madame Pauline ERARD,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