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ACJC/804/2019 vom 7. Juni 2019</w:t>
      </w:r>
    </w:p>
    <w:p>
      <w:r>
        <w:t>GE Cour de justice, 2019-06-07, FR</w:t>
      </w:r>
    </w:p>
    <w:p>
      <w:r>
        <w:rPr>
          <w:b/>
        </w:rPr>
        <w:t xml:space="preserve">Quelle: </w:t>
      </w:r>
      <w:r>
        <w:t>https://mcp.opencaselaw.ch/entscheid/ge_gerichte_ACJC_804_2019</w:t>
      </w:r>
    </w:p>
    <w:p>
      <w:r>
        <w:t>FR: GE_GERICHTE ACJC/804/2019 du 7 juin 2019</w:t>
      </w:r>
    </w:p>
    <w:p>
      <w:r>
        <w:t>IT: GE_GERICHTE ACJC/804/2019 del 7 giugno 2019</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Dès lors qu’en l’espèce, le litige porte sur les droits parentaux, soit sur une affaire non pécuniaire, la voie de l'appel est ouverte indépendamment de la valeur litigieuse (arrêts du Tribunal fédéral 5A_781/2015 du 14 mars 2016 consid. 1 et 5A_331/2015 du 20 janvier 2016 consid. 1). En l'espèce, l'appel, motivé et formé par écrit dans un délai de trente jours à compter de la notification de la décision, est recevable (art. 130, 131 et 311 al. 1 CPC).</w:t>
      </w:r>
    </w:p>
    <w:p>
      <w:r>
        <w:rPr>
          <w:b/>
        </w:rPr>
        <w:t>E. 1.2</w:t>
      </w:r>
    </w:p>
    <w:p>
      <w:r>
        <w:t>La Cour revoit la cause en fait et en droit avec un plein pouvoir d'examen (art. 310 CPC). 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2</w:t>
      </w:r>
    </w:p>
    <w:p>
      <w:r>
        <w:t>La présente cause présente un élément d'extranéité en raison de la nationalité étrangère des parties. Celles-ci ne contestent, à juste titre, pas la compétence des autorités judiciaires genevoises (art. 59, 64 al. 1 et 85 LDIP) et l'application du droit suisse (art. 61, 64 al. 2 et 85 LDIP; art. 1 et 5 de la Convention concernant la compétence, la loi applicable, la reconnaissance l'exécution et la coopération en matière de responsabilité parentale et de mesures de protection des enfants du 19 octobre 1996; art. 8 al. 1 de la Convention de La Haye sur la loi applicable aux obligations alimentaires du 2 octobre 1973) au présent litige.</w:t>
      </w:r>
    </w:p>
    <w:p>
      <w:r>
        <w:rPr>
          <w:b/>
        </w:rPr>
        <w:t>E. 3</w:t>
      </w:r>
    </w:p>
    <w:p>
      <w:r>
        <w:t>L'appelante s'oppose aux modalités du droit de visite fixées par le premier juge.</w:t>
      </w:r>
    </w:p>
    <w:p>
      <w:r>
        <w:t>Elle fait valoir que le père n'a pas construit de relation avec ses filles et qu'il n'est qu'un étranger pour elles. La demande de modification de jugement de divorce ne portait initialement que sur des questions financières et l'appelante s'interroge sur</w:t>
      </w:r>
    </w:p>
    <w:p>
      <w:r>
        <w:t>- 6/11 -</w:t>
      </w:r>
    </w:p>
    <w:p>
      <w:r>
        <w:t>C/29652/2017 la réelle motivation de l'intimé à s'impliquer dans sa relation avec ses enfants. Elle ne s'oppose toutefois pas à une tentative de reprise de relations personnelles, mais considère qu'un cadre strict doit être posé, que les visites ne devraient pas dépasser une durée de deux heures dans un premier temps, qu'elles devraient être subordonnées à l'accord de chacune des enfants, lesquelles auront besoin de se sentir prêtes à rencontrer leur père, et qu'il n'appartient pas au curateur de les élargir en vue d'atteindre un droit de visite usuel, d'autant que les possibilités d'accueil du père dans son logement ne sont pas connues.</w:t>
      </w:r>
    </w:p>
    <w:p>
      <w:r>
        <w:t>L'intimé indique, pour sa part, souhaiter reprendre contact avec ses enfants. Il considère que rien ne justifie de l'en empêcher, que, compte tenu des circonstances, une reprise progressive dans un Point Rencontre est nécessaire, que la durée de quatre heures prévue par le Tribunal n'est pas adéquate et qu'il convient de lui préférer la durée de deux heures sollicitée par la mère. Il relève que ce point aurait pu être convenu d'entente entre les parties, raison pour laquelle il n'a pas fait appel du jugement.</w:t>
      </w:r>
    </w:p>
    <w:p>
      <w:r>
        <w:rPr>
          <w:b/>
        </w:rPr>
        <w:t>E. 3.1</w:t>
      </w:r>
    </w:p>
    <w:p>
      <w:r>
        <w:t>La modification des relations personnelles est régie par l'art. 134 al. 2 CC, qui renvoie aux dispositions relatives aux effets de la filiation.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arrêts du Tribunal fédéral 5A_699/2017 du</w:t>
      </w:r>
    </w:p>
    <w:p>
      <w:r>
        <w:t>- 7/11 -</w:t>
      </w:r>
    </w:p>
    <w:p>
      <w:r>
        <w:t>C/29652/2017 24 octobre 2017 consid. 5.1; 5A_184/2017 du 9 juin 2017 consid. 4.1 et les références).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5A_699/2017 du 24 octobre 2017 consid. 5.1; 5A_184/2017 du 9 juin 2017 consid. 4.1 et les références).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5A_568/2017 du 21 novembre 2017 consid. 5.1; 5A_699/2017 du 24 octobre 2017 consid. 5.1; 5A_184/2017 du 9 juin 2017 consid. 4.1).</w:t>
      </w:r>
    </w:p>
    <w:p>
      <w:r>
        <w:rPr>
          <w:b/>
        </w:rPr>
        <w:t>E. 3.2</w:t>
      </w:r>
    </w:p>
    <w:p>
      <w:r>
        <w:t>Le juge n'est pas lié par les conclusions du SPMi ou du SEASP. Le rapport de ces services (lequel constitue une preuve au sens des art. 168 et 190 CPC) est soumis, à l'instar des autres preuves, au principe de la libre appréciation consacré par l'art. 157 CPC (HAFNER, Basler Kommentar, Schweizerische Zivilprozess- 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3.3</w:t>
      </w:r>
    </w:p>
    <w:p>
      <w:r>
        <w:t>Le juge prend les mesures nécessaires pour protéger l'enfant si son développement est menacé et que ses père et mère n'y remédient pas d'eux-mêmes ou sont hors d'état de le faire (art. 307 al. 1 CC).</w:t>
      </w:r>
    </w:p>
    <w:p>
      <w:r>
        <w:rPr>
          <w:b/>
        </w:rPr>
        <w:t>E. 3.4</w:t>
      </w:r>
    </w:p>
    <w:p>
      <w:r>
        <w:t>En l'espèce, les parents s'accordent sur la reprise des relations personnelles entre le père et leurs deux enfants à raison de deux heures un week-end sur deux dans un Point Rencontre.</w:t>
      </w:r>
    </w:p>
    <w:p>
      <w:r>
        <w:t>Aucun droit de visite n'a été réservé au père dans le cadre de la procédure de divorce en raison du refus de ce dernier de se voir imposer des relations personnelles réglementées. Dans son rapport du 24 septembre 2018, le SEASP a considéré qu'une reprise des relations personnelles n'apparaissait pas opportune, dans la mesure où l'enfant</w:t>
      </w:r>
    </w:p>
    <w:p>
      <w:r>
        <w:t>- 8/11 -</w:t>
      </w:r>
    </w:p>
    <w:p>
      <w:r>
        <w:t>C/29652/2017 cadette ne se souvenait pas de son père, l'aînée n'était pas "dans une réelle demande de reprise de contact avec son père" et le père semblait peu motivé.</w:t>
      </w:r>
    </w:p>
    <w:p>
      <w:r>
        <w:t>Comme l'a, à raison, retenu le premier juge, aucun comportement inadéquat du père à l'égard des enfants ni aucune mise en danger de celles-ci n'ont été relevés. Le père a exprimé le souhait d'instaurer un droit de visite, se disant prêt à se soumettre à un cadre et ayant participé à une séance d'information du SEASP. Si l'enfant aînée s'est certes déclarée satisfaite de la situation actuelle, elle n'a toutefois pas exprimé d'opposition à l'instauration d'un droit de visite avec son père.</w:t>
      </w:r>
    </w:p>
    <w:p>
      <w:r>
        <w:t>Compte tenu du rôle essentiel du rapport des enfants avec leurs deux parents, notamment dans le processus de recherche d'identité, et du fait que le père s'est déclaré prêt à s'investir dans des relations personnelles stables avec ses filles - ce à quoi il n'était pas disposé auparavant -, rien ne s'oppose à la fixation d'un droit de visite, qui apparaît conforme à l'intérêt des enfants.</w:t>
      </w:r>
    </w:p>
    <w:p>
      <w:r>
        <w:t>Au vu des circonstances, en particulier du fait que les relations personnelles ont été presque inexistantes depuis la séparation des parents, il se justifie de fixer un droit de visite réduit et surveillé, devant s'exercer, à défaut d'entente entre les parents, à raison de deux heures un week-end sur deux dans un Point Rencontre, une durée de quatre heures telle que fixée par le premier apparaissant excessive pour une reprise des relations personnelles. Le droit de visite ne saurait, en revanche, être conditionné à l'accord des enfants au vu de leur âge.</w:t>
      </w:r>
    </w:p>
    <w:p>
      <w:r>
        <w:t>S'agissant de la mesure de curatelle, à laquelle adhèrent les parents, celle-ci apparaît nécessaire afin d'organiser la reprise de contact dans les meilleures conditions. Toutefois, il n'appartiendra pas au curateur d'élargir le droit de visite fixé ci-avant, mais de saisir le Tribunal de protection de l'adulte et de l'enfant lorsqu'il estimera que les relations personnelles pourront être étendues.</w:t>
      </w:r>
    </w:p>
    <w:p>
      <w:r>
        <w:t>Par conséquent, les chiffres 2 et 3 du dispositif du jugement entrepris seront annulés et il sera statué dans le sens de ce qui précède.</w:t>
      </w:r>
    </w:p>
    <w:p>
      <w:r>
        <w:rPr>
          <w:b/>
        </w:rPr>
        <w:t>E. 4</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4.1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w:t>
      </w:r>
    </w:p>
    <w:p>
      <w:r>
        <w:t>- 9/11 -</w:t>
      </w:r>
    </w:p>
    <w:p>
      <w:r>
        <w:t>C/29652/2017 conformément aux règles légales (art. 95, 96, 104 al. 1, 107 al. 1 let. c CPC; art. 30, 73 et 77 RTFMC), le jugement entrepris sera confirmé sur ce point.</w:t>
      </w:r>
    </w:p>
    <w:p>
      <w:r>
        <w:rPr>
          <w:b/>
        </w:rPr>
        <w:t>E. 4.2</w:t>
      </w:r>
    </w:p>
    <w:p>
      <w:r>
        <w:t>Les frais judiciaires de la procédure d'appel sont fixés à 1'250 fr. (art. 30 et 35 RTFMC). Pour des motifs d'équité liés à la nature et à l'issue du litige, ils seront répartis à parts égales entre les parties (art. 95, 104 al. 1, 105, 106 al. 1 et 107 al. 1 let. c CPC). Les parties plaidant au bénéfice de l'assistance judiciaire, leurs parts seront provisoirement laissées à la charge de l'Etat (art. 122 al. 1 let. b CPC; art. 19 RAJ), étant rappelé que les bénéficiaires de l'assistance juridique sont tenus au remboursement des frais judiciaires mis à la charge de l'Etat dans la mesure de l'art. 123 CPC. Pour les mêmes motifs, chaque partie supportera ses propres dépens (art. 107 al. 1 let. c CPC). * * * * *</w:t>
      </w:r>
    </w:p>
    <w:p>
      <w:r>
        <w:t>- 10/11 -</w:t>
      </w:r>
    </w:p>
    <w:p>
      <w:r>
        <w:t>C/29652/2017 PAR CES MOTIFS, La Chambre civile : A la forme : Déclare recevable l'appel interjeté le 7 février 20019 par A______ contre les chiffres 2 et 3 du dispositif du jugement JTPI/20149/2018 rendu le 27 décembre 2018 par le Tribunal de première instance dans la cause C/29652/2017-2. Au fond : Annule les chiffres 2 et 3 du dispositif du jugement entrepris et, statuant à nouveau sur ces points : Réserve à B______ un droit de visite sur C______ et D______ devant s'exercer, sauf accord contraire entre les parents, à raison de deux heures un week-end sur deux dans un Point Rencontre. Instaure une curatelle d'organisation et de surveillance du droit de visite. Charge, notamment, le curateur de mettre en place la reprise du droit de visite et de saisir le Tribunal de protection de l'adulte et de l'enfant dès qu'il estimera que le droit de visite pourra être élargi. Transmet la présente décision au Tribunal de protection de l'adulte et de l'enfant pour nomination et instruction du curateur. Dit que les frais de la mesure de curatelle seront mis à la charge des parents à raison de la moitié chacun. Déboute les parties de toutes autres conclusions. Sur les frais : Arrête les frais judiciaires d'appel à 1'250 fr., les met à la charge des parties par moitié chacune, à savoir 625 fr. à la charge de A______ et 625 fr. à la charge de B______. Laisse provisoirement les frais de A______ et de B______ à la charge de l'Etat de Genève. Dit que chaque partie supporte ses propres dépens d'appel. Siégeant : Madame Ursula ZEHETBAUER GHAVAMI, présidente; Madame Sylvie DROIN, Monsieur Ivo BUETTI, juges; Madame Camille LESTEVEN, greffière.</w:t>
      </w:r>
    </w:p>
    <w:p>
      <w:r>
        <w:t>La présidente : Ursula ZEHETBAUER GHAVAMI</w:t>
      </w:r>
    </w:p>
    <w:p>
      <w:r>
        <w:t>La greffière : Camille LESTEVEN</w:t>
      </w:r>
    </w:p>
    <w:p>
      <w:r>
        <w:t>- 11/11 -</w:t>
      </w:r>
    </w:p>
    <w:p>
      <w:r>
        <w:t>C/29652/2017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