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ACJC/804/2016 vom 14. Juni 2016</w:t>
      </w:r>
    </w:p>
    <w:p>
      <w:r>
        <w:t>GE Cour de justice, 2016-06-14, FR</w:t>
      </w:r>
    </w:p>
    <w:p>
      <w:r>
        <w:rPr>
          <w:b/>
        </w:rPr>
        <w:t xml:space="preserve">Quelle: </w:t>
      </w:r>
      <w:r>
        <w:t>https://mcp.opencaselaw.ch/entscheid/ge_gerichte_ACJC_804_2016</w:t>
      </w:r>
    </w:p>
    <w:p>
      <w:r>
        <w:t>FR: GE_GERICHTE ACJC/804/2016 du 14 juin 2016</w:t>
      </w:r>
    </w:p>
    <w:p>
      <w:r>
        <w:t>IT: GE_GERICHTE ACJC/804/2016 del 14 giugno 2016</w:t>
      </w:r>
    </w:p>
    <w:p>
      <w:pPr>
        <w:pStyle w:val="Heading2"/>
      </w:pPr>
      <w:r>
        <w:t>Erwägungen</w:t>
      </w:r>
    </w:p>
    <w:p>
      <w:r>
        <w:rPr>
          <w:b/>
        </w:rPr>
        <w:t>E. 1.1</w:t>
      </w:r>
    </w:p>
    <w:p>
      <w:r>
        <w:t>Dans les affaires patrimoniales, l'appel n'est ouvert que si la valeur litigieuse au dernier état des conclusions atteint au moins 10'000 fr. (308 al. 2 CPC).</w:t>
      </w:r>
    </w:p>
    <w:p>
      <w:r>
        <w:t>La valeur litigieuse se calcule en fonction de la valeur litigieuse au dernier état des conclusions devant le Tribunal de première instance (art. 308 al. 2 CPC). Lorsque la prétention litigieuse porte sur une prestation périodique de durée indéterminée,</w:t>
      </w:r>
    </w:p>
    <w:p>
      <w:r>
        <w:t>- 7/16 -</w:t>
      </w:r>
    </w:p>
    <w:p>
      <w:r>
        <w:t>C/12903/2014 le capital déterminant pour la valeur litigieuse correspond au montant annuel de la prestation multiplié par vingt (art. 92 al. 2 CPC).</w:t>
      </w:r>
    </w:p>
    <w:p>
      <w:r>
        <w:t>Devant le premier juge, l'enfant a conclu, en dernier lieu, au paiement d'une contribution à son entretien de 750 fr. par mois jusqu'à ses 15 ans, puis de 900 fr. dès cette date, et l'appelant a proposé de verser 500 fr. mensuellement. La valeur litigieuse est dès lors supérieure à 10'000 fr. (250 fr. x 3 ans + 400 fr. x 17). La voie de l'appel est ainsi ouverte.</w:t>
      </w:r>
    </w:p>
    <w:p>
      <w:r>
        <w:rPr>
          <w:b/>
        </w:rPr>
        <w:t>E. 1.2</w:t>
      </w:r>
    </w:p>
    <w:p>
      <w:r>
        <w:t>L'art. 311 al. 1 CPC prévoit que l'appel doit être motivé.</w:t>
      </w:r>
    </w:p>
    <w:p>
      <w:r>
        <w:t>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in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w:t>
      </w:r>
    </w:p>
    <w:p>
      <w:r>
        <w:t>L'absence de motivation conduit à l'irrecevabilité de l'acte d'appel (REETZ/THEILER, in Kommentar zur Schweizerischen Zivilprozessordnung [ZPO], SUTTER-SOMM/HASENBÖHLER/LEUENBERGER [éd.], 2013, n. 12 et 38 ad art. 311 CPC).</w:t>
      </w:r>
    </w:p>
    <w:p>
      <w:r>
        <w:t>En l'espèce, si l'appelant s'est borné à demander que le montant de la contribution à l'entretien de son fils soit reconsidéré, la Cour comprend qu'il est fait grief au premier juge d'avoir mal apprécié la situation financière des parties.</w:t>
      </w:r>
    </w:p>
    <w:p>
      <w:r>
        <w:t>Le grief est ainsi suffisamment motivé.</w:t>
      </w:r>
    </w:p>
    <w:p>
      <w:r>
        <w:t>Il s'ensuit que l'appel est recevable. Celui-ci ayant été interjeté dans les délais et suivant la forme prescrits par la loi (art. 311 al. 1 CPC), il recevable.</w:t>
      </w:r>
    </w:p>
    <w:p>
      <w:r>
        <w:t>- 8/16 -</w:t>
      </w:r>
    </w:p>
    <w:p>
      <w:r>
        <w:t>C/12903/2014</w:t>
      </w:r>
    </w:p>
    <w:p>
      <w:r>
        <w:t>Sont également recevables l'écriture responsive de l'intimé (art. 248 let. d, 312 al. 1 et 314 al. 1 CPC) ainsi que les déterminations subséquentes des parties (ATF 138 I 154 consid. 2.3.3; 137 I 195 consid. 2.3.1 = SJ 2011 I 345).</w:t>
      </w:r>
    </w:p>
    <w:p>
      <w:r>
        <w:t>En revanche, le courrier de l'appelant adressé le 18 avril 2016 à la Cour est irrecevable, ainsi que les allégués de fait s'y rapportant, les dernières écritures des parties datant du 22 mars 2016 et la cause ayant été gardée à juger le 23 mars 2016.</w:t>
      </w:r>
    </w:p>
    <w:p>
      <w:r>
        <w:rPr>
          <w:b/>
        </w:rPr>
        <w:t>E. 2</w:t>
      </w:r>
    </w:p>
    <w:p>
      <w:r>
        <w:t>La Cour revoit la cause avec un plein pouvoir d'examen (art. 310 CPC). Dans la mesure où l'appel porte sur la contribution d'entretien due à un enfant mineur, les maximes inquisitoire illimitée et d'office régissent la procédure (art. 277 al. 3 et 296, art. 55 al. 2 et 58 al. 2 CPC; ATF 137 III 617 consid. 4.5.2; 128 III 411 consid. 3.2.2; arrêt du Tribunal fédéral 5A_906/2012 du 18 avril 2013 consid. 6.1.1). La Cour n'est donc pas liée par les conclusions des parties sur ces points (art. 296 al. 3 CPC; ATF 128 III 411 consid. 3.1). Par ailleurs, les règles de la procédure simplifiée (art. 244 ss CPC) sont applicables (art. 295 CPC).</w:t>
      </w:r>
    </w:p>
    <w:p>
      <w:r>
        <w:rPr>
          <w:b/>
        </w:rPr>
        <w:t>E. 3</w:t>
      </w:r>
    </w:p>
    <w:p>
      <w:r>
        <w:t>Dès lors que l'intimé est de nationalité hollandaise, le litige présente un élément d'extranéité.</w:t>
      </w:r>
    </w:p>
    <w:p>
      <w:r>
        <w:t>L'enfant étant officiellement domicilié à Genève, les autorités judiciaires genevoises sont compétentes pour connaître du présent litige (art. 79 al. 1 LDIP). Le droit suisse est applicable (art. 83 LDIP, art. 4 de la Convention de La Haye sur la loi applicable aux obligations alimentaires du 2 octobre 1973).</w:t>
      </w:r>
    </w:p>
    <w:p>
      <w:r>
        <w:rPr>
          <w:b/>
        </w:rPr>
        <w:t>E. 4</w:t>
      </w:r>
    </w:p>
    <w:p>
      <w:r>
        <w:t>L'appelant conclut préalablement à ce que la mère de l'intimé produise un document permettant de déterminer si elle a été licenciée de son poste de travail ou si elle a démissionné.</w:t>
      </w:r>
    </w:p>
    <w:p>
      <w:r>
        <w:rPr>
          <w:b/>
        </w:rPr>
        <w:t>E. 4.1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w:t>
      </w:r>
    </w:p>
    <w:p>
      <w:r>
        <w:t>- 9/16 -</w:t>
      </w:r>
    </w:p>
    <w:p>
      <w:r>
        <w:t>C/12903/2014 prévaloir sur les autres moyens de preuve déjà administrés par le tribunal de première instance, à savoir lorsqu'il ne serait pas de nature à modifier le résultat des preuves qu'elle tient pour acquis.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4.3.1 et 4.3.2 et les références citées).</w:t>
      </w:r>
    </w:p>
    <w:p>
      <w:r>
        <w:rPr>
          <w:b/>
        </w:rPr>
        <w:t>E. 4.2</w:t>
      </w:r>
    </w:p>
    <w:p>
      <w:r>
        <w:t>Dans le cas d'espèce, l'appelant n'a pas, lors de la dernière audience du Tribunal du 29 octobre 2015, contesté que la mère de l'intimé aurait perdu son emploi, ni requis la production de titre à cet égard. Il ne s'est pour le surplus pas opposé à la clôture des débats et à ce que le Tribunal garde la cause à juger.</w:t>
      </w:r>
    </w:p>
    <w:p>
      <w:r>
        <w:t>Par ailleurs, la Cour s'estime suffisamment renseignée sur la situation financière de la mère de l'intimé, de sorte que la cause est en état d'être jugée.</w:t>
      </w:r>
    </w:p>
    <w:p>
      <w:r>
        <w:rPr>
          <w:b/>
        </w:rPr>
        <w:t>E. 5</w:t>
      </w:r>
    </w:p>
    <w:p>
      <w:r>
        <w:t>L'appelant conteste le montant de la contribution à l'entretien de son fils B______.</w:t>
      </w:r>
    </w:p>
    <w:p>
      <w:r>
        <w:rPr>
          <w:b/>
        </w:rPr>
        <w:t>E. 5.1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t>Il faut également tenir compte dans la répartition des ressources disponibles de la double charge ("Doppelbelastung") qui pèse sur le parent qui assure la garde de l'enfant, par les soins et l'éducation, et qui exerce une activité professionnelle. Dans un tel cas, il y a lieu de pondérer particulièrement l'entretien fourni sous</w:t>
      </w:r>
    </w:p>
    <w:p>
      <w:r>
        <w:t>- 10/16 -</w:t>
      </w:r>
    </w:p>
    <w:p>
      <w:r>
        <w:t>C/12903/2014 forme de soins et d'éducation et de s'écarter d'une répartition proportionnelle entre les parents des frais liés à l'enfant (WULLSCHLEGER, in Schwenzer, Scheidung, 2ème éd., Berne 2011, n. 60 ad art. 285 CC et références citées).</w:t>
      </w:r>
    </w:p>
    <w:p>
      <w:r>
        <w:rPr>
          <w:b/>
        </w:rPr>
        <w:t>E. 5.2</w:t>
      </w:r>
    </w:p>
    <w:p>
      <w:r>
        <w:t>Le revenu d'un indépendant est constitué par son bénéfice net. En cas de revenus fluctuants, pour obtenir un résultat fiable, il convient de tenir compte, en général, du bénéfice net moyen réalisé durant plusieurs années (dans la règle, les trois dernières). Ce n'est que lorsque les revenus diminuent ou augmentent de manière constante que le gain de l'année précédente est considéré comme le revenu décisif, qu'il convient de corriger en prenant en considération les amortissements extraordinaires, les réserves injustifiées et les achats privés. Lorsque les allégations sur le montant des revenus ne sont pas vraisemblables ou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La détermination du revenu d'un indépendant peut en conséquence se faire en référence soit au bénéfice net, soit aux prélèvements privés, ces deux critères étant toutefois exclusifs l'un de l'autre (arrêts du Tribunal fédéral 5A_874/2014 du 8 mai 2015 consid. 5.2.1 à 5.2.3; 5A_544/2014 du 17 septembre 2014 consid. 4.1; 5A_396/2013 du 26 février 2014 consid. 3.2.3).</w:t>
      </w:r>
    </w:p>
    <w:p>
      <w:r>
        <w:t>Le revenu hypothétique de la fortune, comme par exemple un revenu locatif hypothétique, doit être pris en compte dans les revenus d'un époux, lorsque l'élément de fortune n'a pas été aliéné de façon irréversible par l'époux propriétaire (ATF 117 II 16 consid. 1; arrêts du Tribunal fédéral 5A_51/2007 du 24 octobre 2007 consid. 4.2; 5A_57/2007 du 16 août 2007 consid. 3; BASTONS BULLETTI, op.cit., p. 82).</w:t>
      </w:r>
    </w:p>
    <w:p>
      <w:r>
        <w:t>Le fait que des membres de la famille occupent le bien immobilier de l'époux ne justifie pas de faire abstraction du revenu locatif que ce dernier pourrait retirer de ce bien (arrêt du Tribunal fédéral 5A_51/2007 du 24 octobre 2007 consid. 4.2).</w:t>
      </w:r>
    </w:p>
    <w:p>
      <w:r>
        <w:t>De jurisprudence constante, il y a lieu de retenir que le sous-bailleur peut pré- tendre à une rémunération pour les prestations supplémentaires fournies au sous- locataire, par exemple le mobilier (ATF 119 II 353/356 et les auteurs cités), ainsi que les charges qu'il supporte. Selon la jurisprudence de la Cour de justice,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(CdB 1992 p.122/123; ACJC/54/1997 du 13.1.1997 consid. 4). Il a également été jugé qu'un loyer de sous-location de 20% supérieur au loyer principal n'était pas abusif (ACJC/249/1992 du 9.10.1992).</w:t>
      </w:r>
    </w:p>
    <w:p>
      <w:r>
        <w:t>- 11/16 -</w:t>
      </w:r>
    </w:p>
    <w:p>
      <w:r>
        <w:t>C/12903/2014</w:t>
      </w:r>
    </w:p>
    <w:p>
      <w:r>
        <w:rPr>
          <w:b/>
        </w:rPr>
        <w:t>E. 5.3</w:t>
      </w:r>
    </w:p>
    <w:p>
      <w:r>
        <w:t>La loi ne prescrit pas de méthode de calcul particulière pour arrêter la contri- bution d'entretien (ATF 128 III 411 consid. 3.2.2; arrêt du Tribunal fédéral 5A_96/2012 du 18 avril 2013 consid. 5.1.2). Le juge dispose à cet égard d'un large pouvoir d'appréciation (ATF 127 III 136 consid. 3.a).</w:t>
      </w:r>
    </w:p>
    <w:p>
      <w:r>
        <w:t>Pour apprécier la capacité contributive des parents et les besoins concrets de l'enfant, la jurisprudence admet, comme l'une des méthodes possibles, la méthode dite du «minimum vital» (ATF 127 III 68, JdT 2001 I 562 consid. 2b; 126 III 353, JdT 2002 I 162 consid. 1a/aa). Le minimum vital du débirentier doit en principe être préservé (ATF 137 III 59 consid. 4.2.1).</w:t>
      </w:r>
    </w:p>
    <w:p>
      <w:r>
        <w:t>Dans le cadre de cette méthode, les charges d'un enfant mineur, tout comme celles de ses parents, comprennent un montant de base selon les normes d'insaisissabilité en vigueur à Genève pour l'année (E 3.60.04), une participation aux frais du logement (arrêt du Tribunal fédéral 5A_533/2010 du 24 novembre 2010 consid. 2.1), sa prime d'assurance maladie, les frais de transport public et d'autres frais effectifs. La part d'un enfant au logement est fixé entre 20% et 30% (BASTONS BULLETTI, L'entretien après divorce : méthodes de calcul, montant, durée et limites, in SJ II 2007 p. 77 ss, p. 102).</w:t>
      </w:r>
    </w:p>
    <w:p>
      <w:r>
        <w:t>Sauf cas particulier, les primes d'assurance non obligatoires ne font pas partie du minimum vital des parties (arrêt du Tribunal fédéral 5C.53/2005 du 31 mai 2005 consid. 5.2). En outre, lorsque le calcul du minimum vital ne permet pas de couvrir les dépenses nécessaires de l'enfant, il doit également être fait abstraction de la charge fiscale du débirentier (ATF 127 III 68, JdT 2001 I 562 consid. 2b).</w:t>
      </w:r>
    </w:p>
    <w:p>
      <w:r>
        <w:rPr>
          <w:b/>
        </w:rPr>
        <w:t>E. 5.4</w:t>
      </w:r>
    </w:p>
    <w:p>
      <w:r>
        <w:t>Les bases mensuelles d'entretien sont réduites de 15% pour les débiteurs domiciliés en France, le coût de la vie y étant notoirement moins élevé qu'en Suisse (SJ 2000 II 214 et DAS 66/97).</w:t>
      </w:r>
    </w:p>
    <w:p>
      <w:r>
        <w:t>Les dettes hypothécaires, les intérêts hypothécaires sont pris en considération, car ils servent à l'entretien, tandis que l'amortissement, qui permet la constitution du patrimoine, n'est considéré que lorsque les moyens financiers des époux le permettent (ATF 127 III 289 consid. 2a/bb et les références citées; arrêts du Tribunal fédéral 5A_778/2013 du 1er avril 2014 consid. 9.2; 6A_687/2011 du 17 avril 2012 consid. 6.2).</w:t>
      </w:r>
    </w:p>
    <w:p>
      <w:r>
        <w:rPr>
          <w:b/>
        </w:rPr>
        <w:t>E. 5.5</w:t>
      </w:r>
    </w:p>
    <w:p>
      <w:r>
        <w:t>Selon l'art. 8 al. 2 de la loi sur les allocations familiales (J.5.10), révisée au 1er janvier 2012, celles-ci s'élèvent à 300 fr. par mois pour l'enfant jusqu'à 16 ans et à 400 fr. par mois pour l'enfant de 16 à 20 ans.</w:t>
      </w:r>
    </w:p>
    <w:p>
      <w:r>
        <w:t>Les allocations familiales doivent être retranchées du coût de l'enfant (arrêts du Tribunal fédéral 5A_892/2013 du 29 juillet 2014 consid. 4.4.3; 5A_386/2012 du 23 juillet 2012 consid. 4.2.1; 5A_402/2010 du 10 septembre 2010 consid. 4.2.4).</w:t>
      </w:r>
    </w:p>
    <w:p>
      <w:r>
        <w:t>- 12/16 -</w:t>
      </w:r>
    </w:p>
    <w:p>
      <w:r>
        <w:t>C/12903/2014</w:t>
      </w:r>
    </w:p>
    <w:p>
      <w:r>
        <w:rPr>
          <w:b/>
        </w:rPr>
        <w:t>E. 5.6</w:t>
      </w:r>
    </w:p>
    <w:p>
      <w:r>
        <w:t>Selon l'art. 278 al. 2 CC, chaque époux est tenu d'assister son conjoint de façon appropriée dans l'accomplissement de son obligation d'entretien envers les enfants nés avant le mariage, disposition qui concrétise le devoir général d'assistance entre époux prévu par l'art. 159 al. 3 CC. Le droit à cette assistance n'appartient dès lors qu'aux parents de l'enfant, non à ce dernier lui-même (HEGNAUER/MEIER, Droit suisse de la filiation et de la famille, 4ème édition, ch. 20.08 p. 124). Il reste toutefois subsidiaire par rapport à l'obligation d'entretien des père et mère (ATF 120 II 285 consid. 2b p. 288). L'assistance du beau-parent est en principe due lorsque le parent n'est plus à même, en raison de ses obligations envers son conjoint résultant du mariage, d'assumer l'entretien de son enfant (TF in Fam.Pra.ch 2005 p. 172, consid. 3.2.1; HEGNAUER/MEIER, op. cit., p. 139 n. 21.15; BADDLEY/LEUBA, L'entretien de l'enfant du conjoint et le devoir d'assistance entre époux, in : Recueil des travaux en l'honneur du professeur Suzette Sandoz, Genève 2006, p. 175 ss, 179). De surcroît, le nouveau conjoint ne doit l'assistance que dans la mesure où il dispose encore de moyens après la couverture de son entretien et de celui de ses propres enfants (TF Fam.Pra.ch 2005 p. 172 consid. 3.2.1).</w:t>
      </w:r>
    </w:p>
    <w:p>
      <w:r>
        <w:rPr>
          <w:b/>
        </w:rPr>
        <w:t>E. 5.7</w:t>
      </w:r>
    </w:p>
    <w:p>
      <w:r>
        <w:t>Dans tous les cas, le minimum vital du débirentier doit être au moins préservé (ATF 135 III 66 consid. 10, JdT 2010 I 167; 127 III 68, JdT 2001 I 562 consid. 2c p. 565/566; 126 III 353 consid. 1a/aa et bb p. 356/357; 123 III 1, JdT 1998 I 39 consid. 3b/bb, 3e et 5 p. 40/41 et p. 44/45).</w:t>
      </w:r>
    </w:p>
    <w:p>
      <w:r>
        <w:t>Il convient de prendre en compte les particularités de chaque situation, sans faire preuve d'un schématisme aveugle, le juge disposant d'un large pouvoir d'appréciation des faits dans le cadre de l'article 285 CC (art. 4 CC; ATF 128 III 161 consid. 2, JdT 2002 I 472).</w:t>
      </w:r>
    </w:p>
    <w:p>
      <w:r>
        <w:rPr>
          <w:b/>
        </w:rPr>
        <w:t>E. 5.8</w:t>
      </w:r>
    </w:p>
    <w:p>
      <w:r>
        <w:t>En l'espèce, la méthode du minimum vital appliqué par le premier juge n'est pas remise en cause par les parties. Il convient dans un premier temps de déterminer les revenus et les charges des parents, ainsi que de l'intimé.</w:t>
      </w:r>
    </w:p>
    <w:p>
      <w:r>
        <w:rPr>
          <w:b/>
        </w:rPr>
        <w:t>E. 5.8.1</w:t>
      </w:r>
    </w:p>
    <w:p>
      <w:r>
        <w:t>Le revenu mensuel net, tel que fixé par le Tribunal, n'est pas contesté par les parties. Il est par ailleurs conforme aux pièces versées à la procédure. Le montant de 5'123 fr. (5'123 fr. 40 arrondi) sera par conséquent retenu.</w:t>
      </w:r>
    </w:p>
    <w:p>
      <w:r>
        <w:t>L'appelant est par ailleurs locataire, d'un appartement à Genève, dont le loyer mensuel, charges comprises, est de 1'660 fr. Il sous-loue ce logement, toutes charges comprises, à deux sous-locataires, depuis le 11 mars 2014, pour un montant de 2'300 fr. par mois. Conformément à la jurisprudence rappelée ci-avant sous ch. 5.2, il y a lieu de retenir une prime de risque et pour la mise à disposition de meubles, de 15% par rapport au loyer principal, soit 249 fr. A ce montant s'ajoutent les frais d'électricité, de 20 fr. 85 par mois, les frais de câble, de 42 fr. et la prime d'assurance-ménage, de 16 fr. 05. Le coût total de cet appartement s'élève</w:t>
      </w:r>
    </w:p>
    <w:p>
      <w:r>
        <w:t>- 13/16 -</w:t>
      </w:r>
    </w:p>
    <w:p>
      <w:r>
        <w:t>C/12903/2014 donc à 1'988 fr. par mois (1'660 fr. + 327 fr. 90 = 1'987 fr. 90 arrondi), de sorte que l'appelant réalise un bénéfice mensuel de 312 fr. sur cette sous-location, lequel constitue un revenu.</w:t>
      </w:r>
    </w:p>
    <w:p>
      <w:r>
        <w:t>Il y a enfin également lieu de tenir compte du revenu que l'appelant doit être en mesure de tirer de la location de la maison dont il est propriétaire en Angleterre, laquelle est occupée par son frère. L'appelant s'est borné à alléguer que le prix que lui verserait son frère couvrait uniquement les intérêts hypothécaires et les autres charges liées à ce bien, sans produire les titres y relatifs. Au vu des offres de locations relatives à ce type de locaux à 1______ disponibles sur internet (cf. http://www.zoopla.co.uk/to-rent), se situant dans une fourchette de 800 £ et 1'200 £, représentant entre 1'149 fr. et 1'723 fr. (au taux de change de 1,43640 fr. pour 1 £), un montant de 600 fr., sera retenu comme revenu locatif hypothétique, sur la base d'un loyer de 1'000 £ par mois et en tenant compte de charges hypothétiques de l'ordre de 580 £.</w:t>
      </w:r>
    </w:p>
    <w:p>
      <w:r>
        <w:t>Il s'ensuit que les revenus mensuels de l'appelant étaient donc de 5'723 jusqu'en février 2014 puis de 6'035 fr. (5'123 fr. + 312 fr. + 600 fr.) depuis lors.</w:t>
      </w:r>
    </w:p>
    <w:p>
      <w:r>
        <w:rPr>
          <w:b/>
        </w:rPr>
        <w:t>E. 5.8.2</w:t>
      </w:r>
    </w:p>
    <w:p>
      <w:r>
        <w:t>Au titre des charges incompressibles personnelles de l'appelant seront retenus la moitié des intérêts hypothécaires de son logement conjugal en France, hors amortissement, de 3'100 € par trimestre, soit 1'033.35 € par mois, représentant (1,22841 au 1er juillet 2013 et 1,10874 au 9 mai 2016 https://www.oanda.com/, soit 1,168 en moyenne) 1'207 fr., au taux de 1,168, ainsi que des frais d'électricité et d'eau, de 23 fr. (34,16 € pour 2 mois et 45.22 € pour 2 mois, soit 79.38 €, soit 39.69 € par mois / 2 au taux de 1,168), la prime d'assurance maladie de base de 208 fr. 40, les impôts de 165 fr. et la moitié du montant de base OP, de 722 fr. 50 (850 fr. – 15% en raison du domicile en France de l'appelant). Elles totalisent ainsi 2'326 fr. (2'325 fr. 90 arrondi). L'appelant disposait ainsi d'un solde mensuel de 3'397 fr. jusqu'en février 2014 puis de 3'709 fr. par la suite.</w:t>
      </w:r>
    </w:p>
    <w:p>
      <w:r>
        <w:rPr>
          <w:b/>
        </w:rPr>
        <w:t>E. 5.8.3</w:t>
      </w:r>
    </w:p>
    <w:p>
      <w:r>
        <w:t>Les charges mensuelles admissibles de l'épouse de l'appelant s'élèvent à 2'287 fr. 30, soit 1'207 fr. et 23 fr. concernant le logement, 334 fr. 80 de prime d'assurance maladie de base et la moitié du montant de case OP de 722 fr. 50. Dès lors qu'elle dit ne pas travailler, il ne se justifie pas de prendre en considération des frais de transport. Dès lors qu'il ne résulte pas de la procédure que l'épouse de l'appelant percevrait des revenus, celui-ci doit prendre en charge les frais de son épouse. Il doit ainsi faire face à des charges mensuelles de 4'613 fr. 30.</w:t>
      </w:r>
    </w:p>
    <w:p>
      <w:r>
        <w:rPr>
          <w:b/>
        </w:rPr>
        <w:t>E. 5.8.4</w:t>
      </w:r>
    </w:p>
    <w:p>
      <w:r>
        <w:t>La mère de l'intimé a travaillé jusqu'à fin novembre 2014 et percevait un salaire mensuel net de 6'534 fr. 50. Elle a depuis lors bénéficié d'indemnités de</w:t>
      </w:r>
    </w:p>
    <w:p>
      <w:r>
        <w:t>- 14/16 -</w:t>
      </w:r>
    </w:p>
    <w:p>
      <w:r>
        <w:t>C/12903/2014 l'assurance chômage, de l'ordre de 5'200 fr. par mois. Il n'y a pas lieu en l'état de lui imputer un revenu hypothétique, ce que l'appelant ne soutient, au demeurant, pas.</w:t>
      </w:r>
    </w:p>
    <w:p>
      <w:r>
        <w:rPr>
          <w:b/>
        </w:rPr>
        <w:t>E. 5.8.5</w:t>
      </w:r>
    </w:p>
    <w:p>
      <w:r>
        <w:t>Ses charges mensuelles admissibles personnelles, non contestées, de 3'068 fr. 35, se composaient de 80% du loyer (1'680 fr. 75), soit 1'344 fr. 60, 102 fr. 50 de frais de transport, 271 fr. 25 de prime d'assurance maladie de base et le montant de base OP de 1'350 fr. La mère de l'intimé bénéficiait en conséquence d'un solde mensuel disponible de 3'466 fr. 15 jusqu'à fin novembre 2014, puis de 2'131 fr. 65 depuis lors.</w:t>
      </w:r>
    </w:p>
    <w:p>
      <w:r>
        <w:rPr>
          <w:b/>
        </w:rPr>
        <w:t>E. 5.8.6</w:t>
      </w:r>
    </w:p>
    <w:p>
      <w:r>
        <w:t>Les charges admissibles de l'intimé s'élevaient à 1'171 fr. 70, soit 336 fr. 15 de loyer, 45 fr. de frais de transport, 140 fr. 55 de prime d'assurance maladie, 50 fr. d'activités extrascolaires et 600 fr. de montant de base OP, sous déduction de 300 fr. d'allocations familiales, soit un montant total de 871 fr. 70.</w:t>
      </w:r>
    </w:p>
    <w:p>
      <w:r>
        <w:rPr>
          <w:b/>
        </w:rPr>
        <w:t>E. 5.8.7</w:t>
      </w:r>
    </w:p>
    <w:p>
      <w:r>
        <w:t>S'agissant de E______, ses charges se composaient de la moitié de la prime d'assurance maladie de base de 66 fr. 90, ainsi que la moitié du montant de base OP, diminué de 15%, soit 170 fr., dès le 1er novembre 2014. Dès lors que l'appelant travaille en Suisse, il est en droit de bénéficier des allocations familiales pour E______ (art. 2 de la LAF), d'un montant de 300 fr. mensuellement.</w:t>
      </w:r>
    </w:p>
    <w:p>
      <w:r>
        <w:rPr>
          <w:b/>
        </w:rPr>
        <w:t>E. 5.8.8</w:t>
      </w:r>
    </w:p>
    <w:p>
      <w:r>
        <w:t>Compte tenu du fait que la mère de l'intimé apporte à celui-ci une part d'entretien en nature, et que le droit de visite de l'appelant est restreint (chaque mercredi de 12h00 à 14h30, un week-end sur deux du samedi 9h30 au dimanche 19h00 et une partie des vacances scolaires), il se justifie de faire supporter à l'appelant la majeure partie des coûts financiers de l'intimé. La contribution à l'entretien de l'intimé, fixée à 500 fr. par mois jusqu'à fin novembre 2014, puis à 650 fr. mensuellement dès le 1er décembre 2014 est proportionnée aux capacités respectives des parties et aux besoins de l'enfant. Le dies a quo de la contribution d'entretien fixé au 1er juillet 2013 par le Tribunal, non remis en cause par les parties, soit un an avant le dépôt de la demande en fixation d'aliment, correspond par ailleurs à l'année où l'appelant a cessé de contribuer à l'entretien de son fils. Il sera, partant, confirmé. Après couverture de ses propres charges et de celles de son épouse ainsi que le paiement de ladite contribution, l'appelant disposait encore d'un solde, jusqu'en février 2014, de 609 fr.70, étant rappelé que son épouse exerçait durant l'année 2014 une activité professionnelle, puis, dès novembre 2014, d'un solde de 921 fr. 70 pour assurer l'entretien de son fils E______, respectivement de 771 fr. 70 dès le 1er décembre 2014. Ce montant lui permettra également de couvrir la part de charge le concernant s'agissant du second enfant du couple dès août 2016,</w:t>
      </w:r>
    </w:p>
    <w:p>
      <w:r>
        <w:t>- 15/16 -</w:t>
      </w:r>
    </w:p>
    <w:p>
      <w:r>
        <w:t>C/12903/2014 dont les charges peuvent être évaluées, comme celle de E______, à 170 fr., lesquelles seront au demeurant couvertes par les allocations familiales de 300 fr. par mois.</w:t>
      </w:r>
    </w:p>
    <w:p>
      <w:r>
        <w:rPr>
          <w:b/>
        </w:rPr>
        <w:t>E. 5.8.9</w:t>
      </w:r>
    </w:p>
    <w:p>
      <w:r>
        <w:t>Par conséquent, l'appelant sera débouté de ses conclusions et le jugement entrepris confirmé.</w:t>
      </w:r>
    </w:p>
    <w:p>
      <w:r>
        <w:rPr>
          <w:b/>
        </w:rPr>
        <w:t>E. 6.1</w:t>
      </w:r>
    </w:p>
    <w:p>
      <w:r>
        <w:t>Les frais, qui comprennent les frais judiciaires et les dépens (art. 95 al. 1 CPC), sont mis à la charge de la partie succombante; lorsqu'aucune des parties n'obtient entièrement gain de cause, ils sont répartis selon l'issue du litige (art. 106 al. 1 et al. 2 CPC). Le juge est toutefois libre de s'écarter de ces principes dans les litiges relevant du droit de la famille, respectivement lorsque d'autres circonstances le justifient (art. 107 al. 1 let. c et let. f CPC).</w:t>
      </w:r>
    </w:p>
    <w:p>
      <w:r>
        <w:t>Lorsque l'autorité d'appel statue à nouveau, elle se prononce sur les frais de première instance (art. 318 al. 3 CPC).</w:t>
      </w:r>
    </w:p>
    <w:p>
      <w:r>
        <w:t>6.2.1 En l'espèce, le jugement étant confirmé et l'appelant n'ayant pas remis en cause les frais de première instance, ceux-ci seront confirmés.</w:t>
      </w:r>
    </w:p>
    <w:p>
      <w:r>
        <w:t>6.2.2 Les frais judiciaires de l'appel seront arrêtés à 1'500 fr. (art. 96, 104 al. 1, 105 et 106 CPC; art. 17 et 35 RTFMC). Compte tenu de l'issue du litige les frais seront mis à la charge de l'appelant. Celui-ci n'ayant pas été invité à verser d'avance de frais, il sera condamné à verser le montant de 1'500 fr. à l'Etat de Genève, soit pour lui les Services financiers du Pouvoir judiciaire.</w:t>
      </w:r>
    </w:p>
    <w:p>
      <w:r>
        <w:t>Chaque partie assumera ses propres dépens (art. 107 al. 1 let. c CPC). * * * * * *</w:t>
      </w:r>
    </w:p>
    <w:p>
      <w:r>
        <w:t>- 16/16 -</w:t>
      </w:r>
    </w:p>
    <w:p>
      <w:r>
        <w:t>C/12903/2014 PAR CES MOTIFS, La Chambre civile : A la forme : Déclare recevable l'appel interjeté le 16 décembre 2015 par A______ contre le jugement JTPI/13800/2015 rendu le 18 novembre 2015 par le Tribunal de première instance dans la cause C/12903/2014-16. Au fond : Confirme ce jugement. Déboute les parties de toutes autres conclusions. Sur les frais : Arrête les frais judiciaires d'appel à 1'500 fr. et les met à la charge d'A______. Condamne en conséquence A______ à verser 1'500 fr. à l'Etat de Genève, soit pour lui les Services financiers du Pouvoir judiciaire. Dit que chaque partie conserve à sa charge ses propres dépens.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