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ACJC/796/2023 vom 16. Juni 2023</w:t>
      </w:r>
    </w:p>
    <w:p>
      <w:r>
        <w:t>GE Cour de justice, 2023-06-16, FR</w:t>
      </w:r>
    </w:p>
    <w:p>
      <w:r>
        <w:rPr>
          <w:b/>
        </w:rPr>
        <w:t xml:space="preserve">Quelle: </w:t>
      </w:r>
      <w:r>
        <w:t>https://mcp.opencaselaw.ch/entscheid/ge_gerichte_ACJC_796_2023</w:t>
      </w:r>
    </w:p>
    <w:p>
      <w:r>
        <w:t>FR: GE_GERICHTE ACJC/796/2023 du 16 juin 2023</w:t>
      </w:r>
    </w:p>
    <w:p>
      <w:r>
        <w:t>IT: GE_GERICHTE ACJC/796/2023 del 16 giugno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 Déposés en temps utile et dans la forme prescrite par la loi (art. 130, 131, 145 al. 1 let. b et 311 al. 1 CPC), les appels croisés des parties sont recevables. Dirigés contre le même jugement et comportant des liens étroits, il se justifie de les traiter dans un seul arrêt. Afin de respecter le rôle initial des parties, B______ sera désignée, ci-après, en qualité d'appelante et D______ en qualité d'intimé.</w:t>
      </w:r>
    </w:p>
    <w:p>
      <w:r>
        <w:rPr>
          <w:b/>
        </w:rPr>
        <w:t>E. 1.2</w:t>
      </w:r>
    </w:p>
    <w:p>
      <w:r>
        <w:t>Sont également recevables les réponses des deux parties, déposées dans le délai légal (art. 312 al. 2 CPC). Conformément au droit inconditionnel de réplique, les déterminations spontanées et les pièces déposées postérieurement par les parties sont également recevables en tant que celles-ci s'y prononcent sur leurs écritures respectives (ATF 146 III 97 consid. 3.4.1; 142 III 48 consid. 4.1.1) et que la cause n'avait pas encore été gardée à juger.</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t>- 14/29 -</w:t>
      </w:r>
    </w:p>
    <w:p>
      <w:r>
        <w:t>C/15670/2019</w:t>
      </w:r>
    </w:p>
    <w:p>
      <w:r>
        <w:rPr>
          <w:b/>
        </w:rPr>
        <w:t>E. 2</w:t>
      </w:r>
    </w:p>
    <w:p>
      <w:r>
        <w:t>L'appelante reproche au Tribunal d'avoir déclaré irrecevables ses conclusions en liquidation du concubinage au motif qu'elle ne les aurait chiffrées que tardivement.</w:t>
      </w:r>
    </w:p>
    <w:p>
      <w:r>
        <w:t>2.1.1 Le Tribunal examine d'office si les conditions de la recevabilité sont remplies (art. 60 CPC). 2.1.2 L'art. 90 CPC autorise le demandeur à réunir dans la même action plusieurs prétentions contre le même défendeur pour autant que le même tribunal soit compétent à raison de la matière (let. a) et qu'elles soient soumises à la même procédure (let. b) (art. 90 CPC). Le cumul objectif d'actions consiste dans la réunion de plusieurs objets du litige dans un même procès entre les mêmes parties du fait du demandeur (GROBETY, Le cumul objectif d'actions en procédure civile suisse, Genève-Zürich-Bâle, 2018, n. 56, p. 34). L'art. 90 let. b CPC postule en outre que les prétentions cumulées doivent être soumises à la même procédure, à savoir la procédure ordinaire (art. 219 ss CPC), simplifiée (art. 243 ss CPC) ou sommaire (art. 248 ss CPC). C'est le mélange de différents types de procédure au sein d'un même procès que le législateur a entendu prohiber (GROBETY, op. cit., n. 425, p. 263). Les procédures relatives au droit de la famille, soit les procédures spéciales en droit matrimonial (art. 271 ss CPC), la procédure applicable aux enfants dans les affaires de droit de la famille (art. 295 ss CPC) et la procédure en matière de partenariat enregistré (art. 303 ss CPC) ne constituent pas un quatrième type de procédure car elles sont toutes soumises à la procédure ordinaire, simplifiée ou sommaire. Cependant, dans tous les cas, des règles particulières s'appliquent, qui entrainent quelques dérogations aux dispositions sur le procédure ordinaire, simplifiée ou sommaire (GROBETY, op. cit., n. 449, p. 277). Pour une partie de la doctrine majoritaire, un objet soumis à l'une ou l'autre des différentes procédures de droit de la famille ne saurait être couplé à un autre objet soumis à la procédure ordinaire, simplifiée ou sommaire. Un courant minoritaire soutient qu'un tel cumul est possible, se basant en substance sur le principe de l'unité du jugement de divorce. En tout état, d'un point de vue dogmatique, rien ne s'oppose au cumul entre une prétention soumise à une procédure spéciale en droit de la famille avec un autre objet si les conditions du cumul objectif d'actions sont remplies, notamment que la procédure soit identique (GROBETY, op. cit., n. 450 et 451, p. 278 et 279). Si les conditions du cumul ne sont pas réunies, l'irrecevabilité partielle de la demande doit être prononcée lorsqu'une prétention doit être formée dans une autre procédure (BOHNET, Commentaire romand, CPC, 2019, n.11 ad art 90 CPC).</w:t>
      </w:r>
    </w:p>
    <w:p>
      <w:r>
        <w:t>- 15/29 -</w:t>
      </w:r>
    </w:p>
    <w:p>
      <w:r>
        <w:t>C/15670/2019 2.1.3 L'enfant peut agir contre son père et sa mère, ou contre les deux ensemble, afin de leur réclamer l'entretien pour l'avenir et pour l'année qui précède l'ouverture de l'action (art. 279 al. 1 CC). L'action prévue par l'art. 279 al. 1 CC constitue le moyen juridique de fixer la ou les contributions d'entretien de parents non mariés ou de parents mariés, mais non engagés dans une procédure matrimoniale. La qualité pour agir appartient en principe à l'enfant. La jurisprudence admet cependant que le représentant légal puisse agir en son propre nom, et non seulement comme représentant de l'enfant mineur tant lorsqu'on a affaire à des parents mariés ou divorcés (par l'effet des dispositions spéciales que sont les art. 133 al. 1, 134 a. 1 et 176 al. 3 CC - article auquel renvoie l'art. 276 CPC pour les mesures provisionnelles) qu'en présence de parents non mariés, sur la base de l'art. 318 al. 1 CC (MEIER/STETTLER, Droit de la filiation, 2019, n. 1486 et 1488). Le tribunal compétent pour statuer sur la demande d’aliments se prononce également sur l’autorité parentale et sur les autres points concernant le sort des enfants (art. 303 al. 2 CPC; art. 298d al. 3 CC). La demande d'aliments est soumise à la procédure simplifiée (art. 295 CPC; arrêt du Tribunal fédéral 5A_385/2019 du 8 mai 2020 consid. 4.1.2). 2.1.4 Le droit suisse ne prévoit pas de statut particulier pour les personnes qui ne sont pas mariées, ou liées par un partenariat enregistré. Aussi, la dissolution de l’union libre ne nécessite la réalisation d’aucune condition juridique et n’est pas soumise à l’appréciation d’un juge ou d'une autre autorité. Elle peut intervenir en tout temps et sans motif, de manière individuelle ou par consentement mutuel (Rapport du Conseil fédéral: Etat des lieux sur le concubinage en droit actuel – Un PACS pour la Suisse ? du 30 mars 2022, n. 4.3.7.1). Si, selon une majorité de la doctrine, le concubinage peut être qualifié de contrat sui generis de durée, en cas de litige il appartient au juge d’établir les règles applicables, en fonction du problème à résoudre et des circonstances concrètes du cas d’espèce (n. 4.3).</w:t>
      </w:r>
    </w:p>
    <w:p>
      <w:r>
        <w:rPr>
          <w:b/>
        </w:rPr>
        <w:t>E. 2.2</w:t>
      </w:r>
    </w:p>
    <w:p>
      <w:r>
        <w:t>En l'espèce, même à retenir que l'appelante puisse être considérée comme seule demanderesse à l'action, quand bien même elle a déclaré agir comme représentante des enfants, en tout état, les prétentions découlant de l'action alimentaire et celles résultant de la liquidation des rapports patrimoniaux des parents ne pouvaient pas faire l'objet d'un cumul d'actions. En effet, la première action, dont les demandeurs d'aliments sont les enfants, est soumise à la procédure simplifiée alors que le règlement des dettes entre les parents dans le cadre de la société simple qu'ils formaient relève de la procédure ordinaire, compte tenu des conclusions prises par l'appelante qu'elle a chiffrées en dernier lieu à plus de 30'000 fr. au total. Les conditions de l'art. 90 CPC n'étaient donc pas remplies, de sorte que la demande était partiellement irrecevable pour cette raison.</w:t>
      </w:r>
    </w:p>
    <w:p>
      <w:r>
        <w:t>- 16/29 -</w:t>
      </w:r>
    </w:p>
    <w:p>
      <w:r>
        <w:t>C/15670/2019 Dès lors que la cause a été instruite et que le premier juge a statué s'agissant de l'action alimentaire et que cette question ne souffre aucun retard, contrairement aux conclusions financières prises par l'appelante à l'encontre de l'intimé, il y a lieu de déclarer la demande recevable quant à cette action. Le chiffre 1 du dispositif du jugement déclarant irrecevables les conclusions de l'appelante prises dans le cadre de la liquidation de ses rapports patrimoniaux avec l'intimé sera quant à lui confirmé par substitution de motifs, au sens des considérants qui précèdent.</w:t>
      </w:r>
    </w:p>
    <w:p>
      <w:r>
        <w:rPr>
          <w:b/>
        </w:rPr>
        <w:t>E. 3</w:t>
      </w:r>
    </w:p>
    <w:p>
      <w:r>
        <w:t>La présente cause est soumise aux maximes d'office et inquisitoire illimitée dès lors qu'elle concerne les enfants mineurs des parties (art. 296 al. 1 et al. 3 CPC), de sorte que la Cour n'est liée ni par les conclusions des parties sur ce point (art. 296 al. 3 CPC) ni par l'interdiction de la reformatio in pejus (ATF 129 III 417 consid. 2.1.1; arrêt du Tribunal fédéral 5A_843/2018 du 12 février 2020 consid. 5.2).</w:t>
      </w:r>
    </w:p>
    <w:p>
      <w:r>
        <w:rPr>
          <w:b/>
        </w:rPr>
        <w:t>E. 4</w:t>
      </w:r>
    </w:p>
    <w:p>
      <w:r>
        <w:t>Les appelants ont préalablement conclu à ce que soit diligentées toutes les investigations nécessaires aux fins d'examiner l'opportunité de maintenir l'autorité parentale conjointe, de déterminer l'étendue du droit de visite adéquat et l'opportunité de maintenir des curatelles d'organisation et de surveillance des relations personnelles entre les enfants et D______. Subsidiairement, ils ont conclu à ce qu'une expertise familiale soit mise en œuvre, ce à quoi l'intimé a acquiescé en retour.</w:t>
      </w:r>
    </w:p>
    <w:p>
      <w:r>
        <w:rPr>
          <w:b/>
        </w:rPr>
        <w:t>E. 4.1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w:t>
      </w:r>
    </w:p>
    <w:p>
      <w:r>
        <w:rPr>
          <w:b/>
        </w:rPr>
        <w:t>E. 4.2</w:t>
      </w:r>
    </w:p>
    <w:p>
      <w:r>
        <w:t>En l'espèce, il ne se justifie pas d'ordonner une expertise familiale dès lors qu'il s’agit d’une mesure d’instruction particulièrement lourde et coûteuse, qui inclut généralement également les enfants et qui doit être réservée aux cas dans lesquels, notamment, il existe des doutes importants sur les compétences parentales de l'un ou de l'autre des parents. Dans le cas d’espèce, la situation familiale a d'ores et déjà été évaluée dans le cadre d'une enquête sociale du SEASP et plusieurs témoins ont été entendus. L'enquête a mis en évidence les capacités parentales de chacun des parents, dont il sera tenu compte ci-après, sans que des carences justifiant de mettre en œuvre une expertise familiale n'aient été révélées, les allégations réciproques de violences et de pathologie mentale n'ayant pas été objectivées.</w:t>
      </w:r>
    </w:p>
    <w:p>
      <w:r>
        <w:rPr>
          <w:b/>
        </w:rPr>
        <w:t>E. 5</w:t>
      </w:r>
    </w:p>
    <w:p>
      <w:r>
        <w:t>Les parties ont produit des pièces nouvelles en appel.</w:t>
      </w:r>
    </w:p>
    <w:p>
      <w:r>
        <w:t>- 17/29 -</w:t>
      </w:r>
    </w:p>
    <w:p>
      <w:r>
        <w:t>C/15670/2019</w:t>
      </w:r>
    </w:p>
    <w:p>
      <w:r>
        <w:rPr>
          <w:b/>
        </w:rPr>
        <w:t>E. 5.1</w:t>
      </w:r>
    </w:p>
    <w:p>
      <w:r>
        <w:t>Selon l'art. 317 al. 1 CPC, les faits et les moyens de preuve nouveaux ne sont pris en considération en appel que s'ils sont invoqués ou produits sans retard (let. a) et avec la diligence requise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w:t>
      </w:r>
    </w:p>
    <w:p>
      <w:r>
        <w:rPr>
          <w:b/>
        </w:rPr>
        <w:t>E. 5.2</w:t>
      </w:r>
    </w:p>
    <w:p>
      <w:r>
        <w:t>En l'espèce, hormis les pièces produites par l'appelante en lien avec ses prétentions financières à l'encontre de l'intimé (pièces 77, 91 et 93), les pièces nouvelles déposées par les parties en appel sont susceptibles d'avoir une influence sur les questions relatives aux enfants mineurs, de sorte qu'elles sont recevables, de même que les faits qui s'y rapportent.</w:t>
      </w:r>
    </w:p>
    <w:p>
      <w:r>
        <w:rPr>
          <w:b/>
        </w:rPr>
        <w:t>E. 6</w:t>
      </w:r>
    </w:p>
    <w:p>
      <w:r>
        <w:t>L'appelante reproche au Tribunal d'avoir maintenu l'autorité parentale conjointe et l'intimé d'avoir limité son autorité parentale s'agissant du traitement médical des enfants.</w:t>
      </w:r>
    </w:p>
    <w:p>
      <w:r>
        <w:rPr>
          <w:b/>
        </w:rPr>
        <w:t>E. 6.1</w:t>
      </w:r>
    </w:p>
    <w:p>
      <w:r>
        <w:t>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L'autorité parentale conjointe est la règle depuis l'entrée en vigueur le1er juillet 2014 des nouvelles dispositions du Code civil relatives à l'autorité parentale, ce indépendamment de l'état civil des parents (art. 296 al. 2, 298a al. 1, 298b al. 2 et 298d al. 1 CC; ATF 142 III 1 consid. 3.3; arrêt du Tribunal fédéral 5A_153/2019 du 3 septembre 2019 consid 3.3). Si la mère n'est pas mariée avec le père et que celui-ci reconnait l'enfant, les parents obtiennent l'autorité parentale conjointe sur la base d'une déclaration commune (art. 298a al. 1 CC). Selon l'art. 311 al. 1 CC,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L'attribution de l'autorité parentale exclusive à l'un des parents - qui doit rester une exception strictement limitée (ATF 141 III 472 consid. 4.7;</w:t>
      </w:r>
    </w:p>
    <w:p>
      <w:r>
        <w:t>- 18/29 -</w:t>
      </w:r>
    </w:p>
    <w:p>
      <w:r>
        <w:t>C/15670/2019 arrêt du Tribunal fédéral 5A_819/2016 du 21 février 2017 consid. 6.3) -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144 III 159 consid. 5.1; 142 III 1 consid. 2.1).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du 1er juin 2011 consid. 2.4.1 et les réf. citées). Le juge n'est pas lié par les conclusions du SEASP.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6.2</w:t>
      </w:r>
    </w:p>
    <w:p>
      <w:r>
        <w:t>En l'espèce, hormis les questions liées à la santé de l'enfant A______, l'intimée n'allègue pas que les parties seraient ou auraient été en désaccord sur une question fondamentale relevant de l'autorité parentale. S'agissant du suivi thérapeutique de A______, il ressort de la procédure que c'est à juste titre que l'intimé fait valoir qu'il n'a fait que communiquer son ressenti par rapport à la nécessité, pour l'enfant, de poursuivre une psychothérapie mais qu'il ne s'est jamais opposé à un tel suivi. La pédopsychiatre a déclaré que le père était contre celui-ci sans que cela ne soit objectivé. Il apparait plutôt que le traitement n'a pas été mis en place auprès de cette médecin car elle n'avait pas de disponibilité et qu'en outre, elle considère que lorsque les deux parents ne sont pas convaincus du bienfondé du suivi celui-ci n'est pas bénéfique pour l'enfant. En outre, l'intimé a fait savoir dès</w:t>
      </w:r>
    </w:p>
    <w:p>
      <w:r>
        <w:t>- 19/29 -</w:t>
      </w:r>
    </w:p>
    <w:p>
      <w:r>
        <w:t>C/15670/2019 le début de la procédure qu'il ne s'opposerait pas aux décisions prises par l'appelante en matière de suivi médical des enfants, et il s'y est tenu. L'appelante fait uniquement valoir que les parties ne sont pas d'accord sur la prise en charge des enfants au quotidien, que l'intimé oublierait certains rendez-vous des enfants, ne respecterait pas certaines prescriptions médicales ou imposerait aux enfant des activités sans l'informer. Or, ces questions relèvent non pas de l'autorité parentale mais de la prise en charge des enfants au quotidien, soit de la personne qui en a la garde. Aussi, rien n'indique que le fait d'octroyer l'autorité parentale exclusive à la mère aurait pour effet d'améliorer la gestion courante des enfants par leur père. Par conséquent, il ne se justifie pas de limiter l'autorité parentale de l'intimé qui n'a pris aucune décision contraire à l'intérêt des enfants quant à leur santé. Le chiffre 3 du dispositif du jugement sera donc annulé.</w:t>
      </w:r>
    </w:p>
    <w:p>
      <w:r>
        <w:rPr>
          <w:b/>
        </w:rPr>
        <w:t>E. 7</w:t>
      </w:r>
    </w:p>
    <w:p>
      <w:r>
        <w:t>L'intimé reproche au Tribunal de ne pas avoir prononcé la garde partagée des enfants.</w:t>
      </w:r>
    </w:p>
    <w:p>
      <w:r>
        <w:rPr>
          <w:b/>
        </w:rPr>
        <w:t>E. 7.1</w:t>
      </w:r>
    </w:p>
    <w:p>
      <w:r>
        <w:t>Le juge règle les droits et les devoirs des père et mère conformément aux dispositions régissant les effets de la filiation. Cette règlementation porte notamment sur l'autorité parentale, la garde de l'enfant et les relations personnelles (art. 273 CC). La garde consiste dans l'encadrement quotidien de l'enfant, par l'exercice des droits et des devoirs liés aux soins et à l'éducation courante (ATF 142 III 617 consid. 3.2.2 et les références).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 du Tribunal fédéral 5A_700/2021 du 16 septembre 2022).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142 III 617 consid. 3.2.3). Le bien de l’enfant constitue en effet la règle fondamentale en matière d’attribution des droits</w:t>
      </w:r>
    </w:p>
    <w:p>
      <w:r>
        <w:t>- 20/29 -</w:t>
      </w:r>
    </w:p>
    <w:p>
      <w:r>
        <w:t>C/15670/2019 parentaux (ATF 143 I 21 consid. 5.5.3;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5A_987/2021 du 12 avril 2022 consid. 3.1.2 et les arrêts cités).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5A_987/2021 du 12 avril 2022 consid. 3.1.2 et les arrêts cités).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w:t>
      </w:r>
    </w:p>
    <w:p>
      <w:r>
        <w:t>- 21/29 -</w:t>
      </w:r>
    </w:p>
    <w:p>
      <w:r>
        <w:t>C/15670/2019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 du Tribunal fédéral 5A_987/2021 du 12 avril 2022 consid. 3.1.3 et les arrêts cités).</w:t>
      </w:r>
    </w:p>
    <w:p>
      <w:r>
        <w:rPr>
          <w:b/>
        </w:rPr>
        <w:t>E. 7.2</w:t>
      </w:r>
    </w:p>
    <w:p>
      <w:r>
        <w:t>En l'espèce, si les domiciles des parties sont suffisamment proches, que les deux parents ont des compétences éducatives comparables et que l'intimé serait en mesure de diminuer son temps de travail pour s'occuper des enfants le mercredi, il n'en reste pas moins que les autres conditions ne sont pas remplies pour qu'une garde partagée puisse être instaurée dans l'intérêt des enfants. Comme l'a relevé le SEASP, il n'existe pour l'heure pas de "coparentalité" dès lors que l'intimé n'a de cesse de remettre en question, même s'il ne s'y oppose pas formellement, les décisions prises par la mère dans la gestion quotidienne des enfants, tel le choix de leurs activités extrascolaire. Compte tenu de leur âge, les enfants ont besoin de stabilité. Il est ainsi important pour eux de pouvoir se rendre régulièrement à leurs activités extrascolaires et à leurs suivis médicaux. Or, le père ne semble pas prendre la mesure de l'importance de cette constance à avoir pour les enfants. En outre, celui-ci dénigrant les compétences de la mère devant les enfants, il ne permet pas à celle-ci de tenir sa place de mère sereinement. Ainsi, lorsque les parents communiquent, il s'agit plus d'une confrontation que d'un accord sur ce qu'il s'agit de faire pour les enfants. En l'état, il n'y a donc pas de place pour une garde alternée. La garde des enfants devant être confiée à l'un des parents, c'est à juste titre que le premier juge a confié celle-ci à leur mère dès lors qu'elle l'exerce depuis la séparation des parties, il y a plus de trois ans, et qu'elle appréhende mieux leurs besoins, quitte à se faire aider pour y répondre. Le chiffre 4 du dispositif du jugement sera confirmé.</w:t>
      </w:r>
    </w:p>
    <w:p>
      <w:r>
        <w:rPr>
          <w:b/>
        </w:rPr>
        <w:t>E. 8</w:t>
      </w:r>
    </w:p>
    <w:p>
      <w:r>
        <w:t>L'appelante reproche au Tribunal d'avoir fixé l'étendue des relations personnelles à plus d'un week-end sur deux et la moitié des vacances scolaires.</w:t>
      </w:r>
    </w:p>
    <w:p>
      <w:r>
        <w:t>8.1.1 Aux termes de l'art. 273 al. 1 CC, auquel renvoie l'art. 133 al. 1 CC, le parent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arrêt du</w:t>
      </w:r>
    </w:p>
    <w:p>
      <w:r>
        <w:t>- 22/29 -</w:t>
      </w:r>
    </w:p>
    <w:p>
      <w:r>
        <w:t>C/15670/2019 Tribunal fédéral 5A_177/2022 du 14 septembre 2022 consid. 3.1.1 et les arrêts cités). Il est unanimement reconnu que le rapport de l'enfant avec ses deux parents est essentiel et qu'il peut jouer un rôle décisif dans le processus de sa recherche d'identité (ATF 130 III 585 consid. 2.2; arrêt du Tribunal fédéral 5A_192/2021 du 18 novembre 2021 consid. 4.1 et les arrêts cités). 8.1.2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(ATF 122 III 404 consid. 3c; arrêt du Tribunal fédéral 5A_874/2021 du</w:t>
      </w:r>
    </w:p>
    <w:p>
      <w:r>
        <w:rPr>
          <w:b/>
        </w:rPr>
        <w:t>E. 13</w:t>
      </w:r>
    </w:p>
    <w:p>
      <w:r>
        <w:t>mai 2022 consid. 4.1.1 et les arrêts cités). Le juge dispose d'un large pouvoir d'appréciation dans la fixation du droit de visite (ATF 127 III 295 consid. 4; 122 III 404 in JdT 1998 I 46 consid. 3d). 8.1.3 La curatelle de surveillance des relations personnelles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5A_101/2011 du 7 juin 2011 consid. 3.1.4). 8.2.1 En l'espèce, on ne saurait suivre l'appelante lorsqu'elle fait valoir que le droit de visite de l'intimé doit être surveillé ou réduit à un week-end sur deux et la moitié des vacances scolaires car il existerait, du fait de l'exercice de ce droit, une mise en danger concrète de l'intégrité physique et psychique des enfants. Outre que des violences n'ont pas été objectivées, on ne saurait priver les enfants de leur père, qui s'est toujours investi dans leur relation, au seul motif que lorsque ceux-ci rentrent de chez lui ils sont agités ou manquent de respect à leur mère. L'intimé a en outre entamé une thérapie. Cela est nécessaire. En effet, il ne saurait être question, dans l'intérêt supérieur des enfants, que ceux-ci soient en l'état confrontés durant l'exercice du droit de visite au dénigrement de leur mère par le père. En cas d'échec et d'évolution négative de la situation, les modalités pourront être adaptées cas échéant.</w:t>
      </w:r>
    </w:p>
    <w:p>
      <w:r>
        <w:t>- 23/29 -</w:t>
      </w:r>
    </w:p>
    <w:p>
      <w:r>
        <w:t>C/15670/2019 Par conséquent, c'est avec raison que le premier juge, dans le but de préserver la stabilité des enfants, a fixé l'étendue du droit de visite du père dans la mesure exercée jusqu'alors en l'étendant toutefois jusqu'au lundi matin retour à l'école les week-end afin que le passage des enfants se fasse par ce biais. 8.2.2 Compte tenu de la précision avec laquelle l'étendue du droit de visite a été fixé par le Tribunal, il ne se justifie pas de mettre en place une curatelle d'organisation et de surveillance du droit de visite. 9. Les deux parties remettent en question les contributions à l'entretien des enfants telles que fixées par le Tribunal. 9.1.1 Selon l'art. 276 CC, l'entretien de l'enfant est assuré par les soins, l'éducation et des prestations pécuniaires, ces trois éléments étant considérés comme équivalents (ATF 147 III 265 consid. 5.5 ;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Selon l'art. 285 al. 1 CC, la contribution d'entretien due à l'enfant doit correspondre aux besoins de celui-ci ainsi qu'à la situation et aux ressources des père et mère, compte tenu de la fortune et des revenus de l'enfant. 9.1.2 Dans trois arrêts (ATF 147 III 265, SJ 2021 I 3016; 147 III 293; 147 III 301), le Tribunal fédéral a posé, pour toute la Suisse, une méthode de calcul uniforme des contributions d'entretien du droit de la famille.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9.1.3 Dans le calcul des besoins, le minimum vital du droit des poursuites, comprend l'entretien de base selon les normes d'insaisissabilité (NI,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w:t>
      </w:r>
    </w:p>
    <w:p>
      <w:r>
        <w:t>- 24/29 -</w:t>
      </w:r>
    </w:p>
    <w:p>
      <w:r>
        <w:t>C/15670/2019 147 III 265 précité consid. 7.2). Dans la mesure où les moyens financiers le permettent, la contribution d'entretien doit être étendue au minimum vital du droit de la famille permet de tenir compte des impôts, des primes d'assurance-maladie complémentaires ou d'un montant adapté pour l'amortissement des dettes (ATF 147 III 265 consid. 7.2; arrêt du Tribunal fédéral 5A_583/2018 du 18 janvier 2019 consid. 5.1). En revanche, la prise en compte de postes supplémentaires comme les voyages ou les loisirs n'est pas admissible. Ces besoins doivent être financés au moyen de la répartition de l'excédent. Toutes les autres particularités doivent également être appréciées au moment de la répartition de l'excédent (ATF 147 III 265 consid. 7.2). 9.1.4 Lorsque les moyens suffisent à financer les minimas vitaux du droit de la famille de tous les intéressés et qu'il subsiste un excédent, celui-ci doit être réparti en principe par "grandes et petites têtes", la part pour un parent étant le double de celle pour un enfant mineur (ATF 147 III 265 consid. 7, 7.3 et 8.3.2). De multiples raisons fondées sur les particularités du cas d'espèce permettent de déroger à cette répartition, notamment la répartition de la prise en charge des enfants, des besoins particuliers, des situations financières particulièrement favorables ou des motifs éducatifs et/ou liés aux besoins concrets, afin de ne pas aboutir à un financement indirect de l’autre parent par le biais de contributions d’entretien excessives (ATF 147 III 265 consid. 7.2 à 7.4 et les références citées). 9.1.5 Dans le cas de l’instauration d’une garde exclusive, en raison de l'équivalence de l'entretien en nature et en argent, le père ou la mère qui n’a pas la garde de l'enfant doit, en principe, assumer la totalité de l’entretien pécuniaire, sauf lorsque le parent exerçant la garde dispose de capacités financièrement manifestement plus importantes que l’autre parent (ATF 147 III 265 consid. 5.5; arrêts du Tribunal fédéral 5A_591/2021 du 12 décembre 2022 consid. 3.3.3 destiné à la publication; 5A_230/2022 du 21 septembre 2022 consid. 5.5; 5A_549/2019 du 18 mars 2021 consid. 3.4). 9.2.1 En l'espèce, en 2019, le salaire mensuel net moyen de l'intimé, hors allocations pour les enfants, s'est élevé à 7'277 fr. (8'909 fr. – 1'632 fr. d'allocations pour enfants). En 2020 et 2022, il a été de 6'936 fr. ((8'496 fr. – 1'632 fr.) + (8'639 fr. – 1'632 fr.) / 2) en moyenne. Il sera donc retenu que le salaire mensuel net moyen de l'appelant est de l'ordre de 7'000 fr. par mois, hors revenus locatifs. A juste titre le Tribunal a écarté des charges de l'intimé le montant du loyer du second logement qu'il loue, dès lors qu'il n'a pas justifié de la nécessité d'en disposer et que celui-ci peut être sous-loué, ce que l'intimé n'a pas contesté en appel. Il n'y a en outre pas lieu de tenir compte d'un éventuel versement de l'intimé en faveur de sa mère, l'entretien des enfants mineurs primant les autres obligations d'entretien du droit de la famille (art. 276a al. 1 CC) et l'intimé n'ayant</w:t>
      </w:r>
    </w:p>
    <w:p>
      <w:r>
        <w:t>- 25/29 -</w:t>
      </w:r>
    </w:p>
    <w:p>
      <w:r>
        <w:t>C/15670/2019 pas prouvé que l'allocation pour parent de 209 fr. par mois qu'il perçoit de son employeur soit destinée à sa mère. Par conséquent, l'intimé dispose à tout le moins d'un solde mensuel de 3'516 fr. (7'000 fr. - 3'484 fr.). 9.2.2 Les revenus et les charges de l'appelante, telles qu'arrêtées par le Tribunal, ne sont pas contestés en appel. Celle-ci dispose ainsi d'un solde de 1'020 fr. (5'970 fr., hors revenus locatifs, – 4'950 fr.) par mois. 9.2.3 L'appelante fait valoir qu'en sus des charges retenues par le Tribunal pour les enfants, soit 1'175 fr. pour C______ et 1'375 fr. pour A______, il y a lieu de tenir compte, pour chacun des enfants, de frais supplémentaires de nounou (695 fr.) ainsi que de l'augmentation des frais de restaurant scolaire (12 fr.) et de parascolaire (44 fr.). Si les frais de parascolaire ont augmenté de 10 fr. par mois en moyenne, en revanche les frais de cantine sont restés les mêmes, l'appelante ayant omis de procéder à une annualisation de ces frais. En outre, l'appelante n'a pas prouvé son allégation selon laquelle les activités des enfants se tiendraient au même moment dans des lieux différents ce qui l'obligerait à faire appel à une nounou. Les frais des enfants non couverts par les allocations avaient été arrêtés à 277 fr. pour A______ et à 642 fr. pour C______ mais arrondis respectivement à 300 fr. et 650 fr. par le Tribunal, si bien que l'augmentation de 10 fr. par mois des charges des enfants résultant de l'augmentation des frais de parascolaire ne justifie pas de revoir ces montants. 9.3 Dès lors que l'appelante assume la garde exclusive des enfants, il appartient à l'intimé de prendre en charge la totalité des frais d'entretien de ceux-ci, étant relevé que le solde de l'appelante est inférieur à celui de l'intimé. Ce dernier fait valoir qu'il doit être tenu compte du fait qu'il s'acquitte des frais médicaux non couverts des enfants ainsi que de leur frais d'assurance maladie. Outre le fait qu'il est déjà tenu compte de ce dernier point, cette charge ayant été prise en compte dans les revenus de l'intimé, celui-ci ne prouve pas prendre en charge les frais médicaux non couverts des enfants, étant relevé que le chiffre 12 du dispositif du jugement prévoit que les frais extraordinaires des enfants – dont il est précisé dans les considérants qu'ils concernent également les frais médicaux non remboursés– seront partagés par moitié entre les parties. Après paiement des frais effectifs des enfants, l'intimé dispose d'un excédent de 2'556 fr. (3'516 fr. – 300 fr. – 650 fr.) qui, partagé à raison de ½ pour l'intimé et de ¼ pour chacun des enfants, comme l'a fait le premier juge, ce qui n'est pas critiqué en appel, conduirait à attribuer à chacun des enfants une somme de 639 fr. Toutefois c'est à juste titre que le Tribunal a considéré qu'une somme de 550 fr. par enfant était suffisante à couvrir leurs frais de loisirs et de vacances, le</w:t>
      </w:r>
    </w:p>
    <w:p>
      <w:r>
        <w:t>- 26/29 -</w:t>
      </w:r>
    </w:p>
    <w:p>
      <w:r>
        <w:t>C/15670/2019 contraire n'ayant pas été démontré. Compte tenu de ce qui précède, il n'est pas nécessaire d'examiner s'il doit, comme le plaide l'appelante, également être tenu compte des revenus locatifs que l'intimé pourrait tirer de la sous-location de l'appartement de l'avenue Wendt ou de sa propriété en Argentine, étant relevé qu'il conviendrait préalablement de déduire les charges relatives à ces biens. En effet, même si un revenu supérieur devait être imputé à l'intimé, il ne se justifierait pas que les enfants perçoivent un montant supérieur à 550 fr. par mois au titre du partage de l'excédent. Par conséquent, les chiffres 7 à 10 du dispositif du jugement seront confirmés. 10. Le premier juge a omis de statuer sur la conclusion de l'appelante tendant à ce que la totalité des bonifications pour tâches éducatives au sens de l'art. 52f bis al. 1 RAVS lui soit attribuée.</w:t>
      </w:r>
    </w:p>
    <w:p>
      <w:r>
        <w:t>10.1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(art. 52f bis al. 1 RAVS). Le Tribunal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(art. 52f bis al. 2 RAVS). 10.2 En l'espèce, dès lors que l'appelante continuera d'assumer la plus grande partie de la prise en charge des enfants, la bonification pour tâches éducatives lui sera attribuée en totalité. 11. 11.1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 11.2 Les frais judiciaires de la procédure d’appel sont fixés à 2'000 fr. (art. 32 et 35 RTFMC). Compte tenu de la nature familiale du litige, ils seront répartis à parts égales entre les parties, soit 1'000 fr. à charge de chacune (art. 107 al. 1 let. c CPC). Ils seront compensés avec les avances de frais de 1'000 fr. fournies</w:t>
      </w:r>
    </w:p>
    <w:p>
      <w:r>
        <w:t>- 27/29 -</w:t>
      </w:r>
    </w:p>
    <w:p>
      <w:r>
        <w:t>C/15670/2019 par l'appelante et par l'intimé, qui restent acquises à l'Etat de Genève (art. 111 al. 1 CPC). Compte tenu de la nature familiale du litige, chaque partie supportera ses propres dépens d'appel (art. 107 al. 1 let. c CPC). * * * * *</w:t>
      </w:r>
    </w:p>
    <w:p>
      <w:r>
        <w:t>- 28/29 -</w:t>
      </w:r>
    </w:p>
    <w:p>
      <w:r>
        <w:t>C/15670/2019 PAR CES MOTIFS, La Chambre civile : A la forme : Déclare recevables les appels interjetés par B______, A______ et C______ le 7 septembre 2022 et D______ le 7 septembre 2022 contre le jugement JTPI/7913/2022 rendu le 28 juin 2022 par le Tribunal de première instance dans la cause C/15670/2019. Au fond : Annule le chiffre 3 du dispositif du jugement attaqué. Dit que la bonification pour tâches éducatives selon l’article 52f bis RAVS est attribuée en totalité à B______. Confirme pour le surplus le jugement attaqué. Déboute les parties de toutes autres conclusions. Sur les frais : Arrête les frais judiciaires d'appel à 2'000 fr., dit qu'ils sont entièrement compensés avec les avances fournies par les parties, qui demeurent acquises à l'Etat de Genève, et les met à la charge de chacune des parties pour moitié. Dit que chaque partie supporte ses propres dépens d'appel. Siégeant : Monsieur Cédric-Laurent MICHEL, président; Madame Pauline ERARD, Madame Paola CAMPOMAGNANI, juges; Madame Jessica ATHMOUNI, greffière.</w:t>
      </w:r>
    </w:p>
    <w:p>
      <w:r>
        <w:t>- 29/29 -</w:t>
      </w:r>
    </w:p>
    <w:p>
      <w:r>
        <w:t>C/15670/2019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