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ACJC/796/2014 vom 27. Juni 2014</w:t>
      </w:r>
    </w:p>
    <w:p>
      <w:r>
        <w:t>GE Cour de justice, 2014-06-27, FR</w:t>
      </w:r>
    </w:p>
    <w:p>
      <w:r>
        <w:rPr>
          <w:b/>
        </w:rPr>
        <w:t xml:space="preserve">Quelle: </w:t>
      </w:r>
      <w:r>
        <w:t>https://mcp.opencaselaw.ch/entscheid/ge_gerichte_ACJC_796_2014</w:t>
      </w:r>
    </w:p>
    <w:p>
      <w:r>
        <w:t>FR: GE_GERICHTE ACJC/796/2014 du 27 juin 2014</w:t>
      </w:r>
    </w:p>
    <w:p>
      <w:r>
        <w:t>IT: GE_GERICHTE ACJC/796/2014 del 27 giugno 2014</w:t>
      </w:r>
    </w:p>
    <w:p>
      <w:pPr>
        <w:pStyle w:val="Heading2"/>
      </w:pPr>
      <w:r>
        <w:t>Regeste</w:t>
      </w:r>
    </w:p>
    <w:p>
      <w:r>
        <w:t>Résumé: COMPÉTENCE DE LA COUR DE JUSTICE POUR CONNAÎTRE DES RECOURS FORMÉS CONTRE LES DÉCISIONS DE LA COMMISSION DE CONCILIATION L'art. 122 let. b LOJ prévoit que seules les décisions au fond rendues par la Commission peuvent être portées devant la Chambre des baux et loyers. Il convient toutefois de déroger au texte de l'art. 122 let. b LOJ et d'appliquer cette disposition également aux autres déci­sions rendues par la Commission, telles qu'une décision rayant la cause du rôle.</w:t>
      </w:r>
    </w:p>
    <w:p>
      <w:pPr>
        <w:pStyle w:val="Heading2"/>
      </w:pPr>
      <w:r>
        <w:t>Volltext</w:t>
      </w:r>
    </w:p>
    <w:p>
      <w:r>
        <w:t>Résumé: COMPÉTENCE DE LA COUR DE JUSTICE POUR CONNAÎTRE DES RECOURS FORMÉS CONTRE LES DÉCISIONS DE LA COMMISSION DE CONCILIATION L'art. 122 let. b LOJ prévoit que seules les décisions au fond rendues par la Commission peuvent être portées devant la Chambre des baux et loyers. Il convient toutefois de déroger au texte de l'art. 122 let. b LOJ et d'appliquer cette disposition également aux autres déci­sions rendues par la Commission, telles qu'une décision rayant la cause du rôle.</w:t>
      </w:r>
    </w:p>
    <w:p>
      <w:r>
        <w:t>Descripteurs: Descripteurs: BAIL À LOYER ; COMPÉTENCE ; MOYEN DE DROIT</w:t>
      </w:r>
    </w:p>
    <w:p>
      <w:r>
        <w:t>Normes: Normes: LOJ.122.let.b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