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ACJC/792/2020 vom 19. Dezember 2019</w:t>
      </w:r>
    </w:p>
    <w:p>
      <w:r>
        <w:t>GE Cour de justice, 2019-12-19, FR</w:t>
      </w:r>
    </w:p>
    <w:p>
      <w:r>
        <w:rPr>
          <w:b/>
        </w:rPr>
        <w:t xml:space="preserve">Quelle: </w:t>
      </w:r>
      <w:r>
        <w:t>https://mcp.opencaselaw.ch/entscheid/ge_gerichte_ACJC_792_2020</w:t>
      </w:r>
    </w:p>
    <w:p>
      <w:r>
        <w:t>FR: GE_GERICHTE ACJC/792/2020 du 19 décembre 2019</w:t>
      </w:r>
    </w:p>
    <w:p>
      <w:r>
        <w:t>IT: GE_GERICHTE ACJC/792/2020 del 19 dicembre 2019</w:t>
      </w:r>
    </w:p>
    <w:p>
      <w:pPr>
        <w:pStyle w:val="Heading2"/>
      </w:pPr>
      <w:r>
        <w:t>Erwägungen</w:t>
      </w:r>
    </w:p>
    <w:p>
      <w:r>
        <w:rPr>
          <w:b/>
        </w:rPr>
        <w:t>E. 1.1</w:t>
      </w:r>
    </w:p>
    <w:p>
      <w:r>
        <w:t>L'acte adressé à la Cour est rédigé en anglais. Selon l'art. 129 CPC, la procédure est conduite dans la langue officielle du canton dans lequel l’affaire est jugée, soit le français à Genève (art. 5 al. 1 de la Constitution de la République et canton de Genève du 14 octobre 2012 [Cst-GE - A 2 00]; art. 16 de la loi d'application du code civil suisse et d'autres lois fédérales en matière civile du 11 octobre 2012 [LaCC – E 1 05]). Si une partie procède dans une autre langue, un délai doit lui être imparti en vertu de l’art. 132 CPC pour procéder dans la langue officielle (arrêt du Tribunal fédéral 4A_246/2013 du 8 juillet 2013). Cela étant, tout formalisme excessif est prohibé. Or, en l'espèce, le courrier adressé à la Cour est rédigé en anglais, soit une langue commune, et les explications fournies sont extrêmement brèves et simples et elles sont dès lors facilement compréhensibles. L'intimée n'a pour sa part pas allégué qu'elle n'aurait pas compris les explications fournies et n'aurait pas été en mesure de se déterminer sur celles-ci. Au vu de ces circonstances particulières, une traduction ne sera pas exigée.</w:t>
      </w:r>
    </w:p>
    <w:p>
      <w:r>
        <w:rPr>
          <w:b/>
        </w:rPr>
        <w:t>E. 1.2</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w:t>
      </w:r>
    </w:p>
    <w:p>
      <w:r>
        <w:t>- 5/9 -</w:t>
      </w:r>
    </w:p>
    <w:p>
      <w:r>
        <w:t>C/7386/2019 Le litige portant sur le montant de l'entretien en faveur des enfants, il est de nature pécuniaire. Compte tenu du montant des contributions d'entretien en jeu, capitalisées selon l'art. 92 al. 2 CPC, la valeur litigieuse est supérieure à 10'000 fr. La voie de l'appel est dès lors ouverte.</w:t>
      </w:r>
    </w:p>
    <w:p>
      <w:r>
        <w:rPr>
          <w:b/>
        </w:rPr>
        <w:t>E. 1.3</w:t>
      </w:r>
    </w:p>
    <w:p>
      <w:r>
        <w:t>L’appel, écrit et motivé, est introduit auprès de l’instance d’appel dans les 10 jours, en procédure sommaire, à compter de la notification de la décision motivée ou de la notification postérieure de la motivation (art. 311 al. 1 et 314 al. 1 CPC). Le jugement attaqué ayant été reçu par l'appelant le 13 janvier 2020 à teneur du suivi des envois de la Poste, et non le 9 janvier 2020 comme l'intimée le soutient, l'appel a été déposé dans le délai de dix jours prescrit. Il comporte des explications très succinctes, pour ne pas dire minimalistes. L'appelant, qui comparaît en personne, se réfère à son contrat de travail et à ses fiches de salaire et explique qu'il ne peut pas payer les contributions d'entretien fixées par le Tribunal. Au vu de la nature du litige, de telles explications sont cependant suffisantes et ne peuvent être comprises que comme une demande de suppression de la contribution d'entretien mise à sa charge par le Tribunal au vu de ses revenus actuels. L'appel sera dès lors déclaré recevable.</w:t>
      </w:r>
    </w:p>
    <w:p>
      <w:r>
        <w:rPr>
          <w:b/>
        </w:rPr>
        <w:t>E. 1.4</w:t>
      </w:r>
    </w:p>
    <w:p>
      <w:r>
        <w:t>L'appelant a produit des pièces nouvelles. 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déposées par l'appelant devant la Cour sont recevables dans la mesure où elles sont susceptibles d'avoir une influence sur le montant des contributions d'entretien en faveur des enfants.</w:t>
      </w:r>
    </w:p>
    <w:p>
      <w:r>
        <w:rPr>
          <w:b/>
        </w:rPr>
        <w:t>E. 1.5</w:t>
      </w:r>
    </w:p>
    <w:p>
      <w:r>
        <w:t>La Cour revoit la cause en fait et en droit avec un plein pouvoir d'examen (art. 310 CPC). La présente cause est soumise aux maximes d'offices et inquisitoires illimitées en tant qu'elle concerne les enfants mineurs des parties (art. 296 al. 1 et al. 3 CPC), de sorte que la Cour n'est liée ni par les conclusions des parties sur ce point (art. 296 al. 3 CPC).</w:t>
      </w:r>
    </w:p>
    <w:p>
      <w:r>
        <w:t>- 6/9 -</w:t>
      </w:r>
    </w:p>
    <w:p>
      <w:r>
        <w:t>C/7386/2019 Les mesures provisionnelles étant soumises à la procédure sommaire au sens propre (art. 248 let. d CPC), la cognition de la Cour est cependant limitée à la simple vraisemblance des faits et un examen sommaire du droit, l'exigence de célérité étant privilégiée par rapport à celle de sécurité (ATF 127 III 474 consid. 2b/bb, in JT 2002 I 352; arrêt du Tribunal fédéral 5A_12/2013 du 8 mars 2013, consid. 2.2).</w:t>
      </w:r>
    </w:p>
    <w:p>
      <w:r>
        <w:rPr>
          <w:b/>
        </w:rPr>
        <w:t>E. 2</w:t>
      </w:r>
    </w:p>
    <w:p>
      <w:r>
        <w:t>Il ressort des explications de l'appelant qu'il soutient qu'au vu de ses revenus, il n'est pas en mesure de s'acquitter d'une contribution d'entretien en faveur de ses enfants.</w:t>
      </w:r>
    </w:p>
    <w:p>
      <w:r>
        <w:rPr>
          <w:b/>
        </w:rPr>
        <w:t>E. 2.1.1</w:t>
      </w:r>
    </w:p>
    <w:p>
      <w:r>
        <w:t>Selon l'art. 276 CC, l'entretien de l'enfant est assuré par les soins, l'éducation et les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w:t>
      </w:r>
    </w:p>
    <w:p>
      <w:r>
        <w:rPr>
          <w:b/>
        </w:rPr>
        <w:t>E. 2.1.2</w:t>
      </w:r>
    </w:p>
    <w:p>
      <w:r>
        <w:t>S'agissant en particulier de l'obligation d'entretien d'enfants mineurs, les exigences à l'égard des père et mère sont plus élevées, en sorte que ceux-ci doivent réellement épuiser leur capacité maximale de travail (ATF 137 III 118 consid. 3.1; arrêt 5A_874/2014 du 8 mai 2015 consid. 6.2.1 et la référence). Il s'ensuit que lorsqu'il ressort des faits que l'un des parents, ou les deux, ne fournissent pas tous les efforts que l'on peut attendre d'eux pour assumer leur</w:t>
      </w:r>
    </w:p>
    <w:p>
      <w:r>
        <w:t>- 7/9 -</w:t>
      </w:r>
    </w:p>
    <w:p>
      <w:r>
        <w:t>C/7386/2019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5A_256/2015 du 13 août 2015 consid. 3.2.1; 5A_874/2014 précité; 5A_318/2014 du 2 octobre 2014 consid. 3.1.3.1 et la jurisprudence citée).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arrêt 5A_454/2017 du 17 mai 2018 consid. 6.1.1 non publié aux ATF 144 III 377).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arrêt 5A_329/2019 du 25 octobre 2019 consid. 3.3.1.3 ; 5A_710/2009 du 22 février 2010 consid. 4.1 non publié in ATF 136 III 257).</w:t>
      </w:r>
    </w:p>
    <w:p>
      <w:r>
        <w:rPr>
          <w:b/>
        </w:rPr>
        <w:t>E. 2.1.3</w:t>
      </w:r>
    </w:p>
    <w:p>
      <w:r>
        <w:t>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w:t>
      </w:r>
    </w:p>
    <w:p>
      <w:r>
        <w:rPr>
          <w:b/>
        </w:rPr>
        <w:t>E. 2.2</w:t>
      </w:r>
    </w:p>
    <w:p>
      <w:r>
        <w:t>En l'espèce, il ressort des pièces produites par l'appelant devant la Cour que le contrat de travail de celui-ci a été résilié et qu'un nouveau contrat a été conclu, valable dès le 1er juillet 2019, prévoyant un salaire horaire lui permettant d'obtenir des revenus inférieurs à ceux qu'il percevait auparavant. Le caractère durable de la baisse des revenus de l'appelant est par conséquent, désormais, rendu vraisemblable, contrairement à ce qui avait été le cas devant le Tribunal.</w:t>
      </w:r>
    </w:p>
    <w:p>
      <w:r>
        <w:t>Il ressort du courrier de l'employeur de l'appelant que cette modification de ses conditions de travail n'est pas imputable à l'appelant, mais résulte d'une</w:t>
      </w:r>
    </w:p>
    <w:p>
      <w:r>
        <w:t>- 8/9 -</w:t>
      </w:r>
    </w:p>
    <w:p>
      <w:r>
        <w:t>C/7386/2019 restructuration de l'activité de son employeur. Le nombre d'heures mensuelles effectuées par l'appelant, soit 114,61 en moyenne par mois entre juillet et décembre 2019, et le salaire perçu, soit 2'128 fr. en moyenne par mois, sont cependant faibles par rapport à celui qu'il percevait auparavant et ne correspondent pas à un travail à temps plein. L'appelant n'explique pas pourquoi il perçoit désormais un salaire horaire, alors qu'il exerce a priori la même activité, ni pourquoi il n'effectue pas davantage d'heures; il n'allègue pas à cet égard que son employeur n'avait pas été en mesure de lui confier plus de travail. L'appelant n'indique par ailleurs pas avoir cherché, sans succès toutefois, un autre emploi, mieux rémunéré, compte tenu de la dégradation de ses conditions salariales auprès de son employeur actuel. La question de l'imputation d'un revenu hypothétique à l'appelant se pose donc. Au vu des circonstances et de la situation économique actuelles notoires sur le marché du transport aérien et, de manière plus générale, sur le marché du travail à la suite de la pandémie, en particulier pour des emplois peu qualifiés, il ne paraît toutefois pas vraisemblable que l'appelant puisse, en l'état, espérer augmenter son nombre d'heures de travail, à supposer qu'il conserve son emploi, ou trouver un autre travail mieux rémunéré et aucune prévision quant à une éventuelle amélioration de la situation n'est possible. Aucun revenu hypothétique ne peut donc être imputé à l'appelant, y compris pour la période précédant la pandémie puisqu'un délai d'adaptation devrait être accordé à l'appelant avant de pouvoir tenir compte d'un revenu hypothétique. Dès lors, en tenant compte du revenu effectif de l'appelant, celui-ci n'est pas en mesure de couvrir ses charges, évaluées à 3'120 fr., et il ne peut dès lors être condamné à verser une contribution à l'entretien de ses enfants sans entamer son minimum vital. L'intimée sera dès lors déboutée de ses conclusions en paiement d'une contribution d'entretien et les ch. 5 et 6 du dispositif du jugement attaqué seront annulés.</w:t>
      </w:r>
    </w:p>
    <w:p>
      <w:r>
        <w:rPr>
          <w:b/>
        </w:rPr>
        <w:t>E. 3</w:t>
      </w:r>
    </w:p>
    <w:p>
      <w:r>
        <w:t>Au vu de la nature du litige, les frais judiciaires, arrêtés à 800 fr. (art. 33 et 35 RTFMC), seront mis à la charge des parties pour moitié chacune (art. 107 al. 1 let. c CPC) et compensés avec l'avance fournie par l'appelant (art. 111 al. 1 CPC), qui reste acquise à l'Etat de Genève. L'intimée sera dès lors condamnée à verser 400 fr. à l'appelant à ce titre.</w:t>
      </w:r>
    </w:p>
    <w:p>
      <w:r>
        <w:t>Pour le même motif (art. 107 al. 1 let. c CPC), chaque partie supportera ses propres dépens. * * * * *</w:t>
      </w:r>
    </w:p>
    <w:p>
      <w:r>
        <w:t>- 9/9 -</w:t>
      </w:r>
    </w:p>
    <w:p>
      <w:r>
        <w:t>C/7386/2019 PAR CES MOTIFS, La Chambre civile : A la forme : Déclare recevable l'appel interjeté par A______ contre le jugement JTPI/18328/2019 rendu le 19 décembre 2019 par le Tribunal de première instance dans la cause C/7386/2019-1. Au fond : Annule les ch. 5 et 6 du dispositif de ce jugement. Confirme le jugement attaqué pour le surplus. Déboute les parties de toutes autres conclusions. Sur les frais : Arrête les frais judicaires à 800 fr., les met à la charge de A______ et de C______ pour moitié chacun et dit qu'ils sont compensés avec l'avance fournie, qui reste acquise à l'Etat de Genève. Condamne C______ à verser 400 fr. à A______ à titre de frais judicaires.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