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ACJC/791/2014 vom 13. September 2013</w:t>
      </w:r>
    </w:p>
    <w:p>
      <w:r>
        <w:t>GE Cour de justice, 2013-09-13, FR</w:t>
      </w:r>
    </w:p>
    <w:p>
      <w:r>
        <w:rPr>
          <w:b/>
        </w:rPr>
        <w:t xml:space="preserve">Quelle: </w:t>
      </w:r>
      <w:r>
        <w:t>https://mcp.opencaselaw.ch/entscheid/ge_gerichte_ACJC_791_2014</w:t>
      </w:r>
    </w:p>
    <w:p>
      <w:r>
        <w:t>FR: GE_GERICHTE ACJC/791/2014 du 13 septembre 2013</w:t>
      </w:r>
    </w:p>
    <w:p>
      <w:r>
        <w:t>IT: GE_GERICHTE ACJC/791/2014 del 13 settembre 2013</w:t>
      </w:r>
    </w:p>
    <w:p>
      <w:pPr>
        <w:pStyle w:val="Heading2"/>
      </w:pPr>
      <w:r>
        <w:t>Erwägungen</w:t>
      </w:r>
    </w:p>
    <w:p>
      <w:r>
        <w:rPr>
          <w:b/>
        </w:rPr>
        <w:t>E. 1</w:t>
      </w:r>
    </w:p>
    <w:p>
      <w:r>
        <w:t>La chambre d'appel en matière de baux et loyers siège dans la composition de 3 juges, dont un la préside, d’un juge assesseur représentant les groupements de locataires et d’un juge assesseur représentant les bailleurs.</w:t>
      </w:r>
    </w:p>
    <w:p>
      <w:r>
        <w:rPr>
          <w:b/>
        </w:rPr>
        <w:t>E. 1.1</w:t>
      </w:r>
    </w:p>
    <w:p>
      <w:r>
        <w:t>A teneur de l'art. 122 let. b LOJ, la chambre des baux et loyers de la Cour de justice connaît des recours dirigés contre les décisions au fond de la Commission de conciliation en matière de baux et loyers. Les décisions de première instance émanent en principe de l'autorité cantonale inférieure; il peut aussi s'agir d'une décision de l’autorité de conciliation (KUNZ/ HOFFMANN-NOWOTNY/STAUBER, ZPO-Rechtsmittel, Berufung und Beschwerde 2013, n. 10 ad art. 308 CPC; ACJC/667/2013 du 27 mai 2013 consid. 1). Selon l'art. 89 LOJ, le Tribunal des baux et loyers connaît des litiges relatifs au contrat de bail à loyer (art. 253 à 274g CO) et au contrat de bail à ferme non agri- cole (art. 275 à 304 CO), des litiges relevant de la loi protégeant les garanties fournies par les locataires, du 18 avril 1975, et des litiges qui lui sont expressé- ment attribués par d’autres lois. Dans un arrêt rendu le 23 avril 2013, la Chambre des baux et loyers a retenu qu'il se justifiait de déroger au texte de l'art. 89 al. 2 LOJ et d'appliquer cette dis- position également aux requêtes d'exécution d'un procès-verbal de conciliation prévoyant l'évacuation d'un locataire, l'interprétation littérale de la disposition pré- citée ne reflétant pas l'intention du législateur (ACJC7553/2012 du 23 avril 2012 consid. 3.2.6).</w:t>
      </w:r>
    </w:p>
    <w:p>
      <w:r>
        <w:rPr>
          <w:b/>
        </w:rPr>
        <w:t>E. 1.2</w:t>
      </w:r>
    </w:p>
    <w:p>
      <w:r>
        <w:t>L'autorité a le droit - et éventuellement le devoir (ATF 118 Ib 187 consid. 5a; arrêt du Tribunal fédéral 4A_137/2013 du 7 novembre 2013 consid. 6) - de déro- ger au sens littéral d'un texte apparemment clair, par la voie de l'interprétation, lorsque des raisons objectives relèvent que ce texte ne restitue pas le sens véri- table de la disposition en cause.</w:t>
      </w:r>
    </w:p>
    <w:p>
      <w:r>
        <w:t>- 5/12 -</w:t>
      </w:r>
    </w:p>
    <w:p>
      <w:r>
        <w:t>C/1______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consi- dérer, soit notamment des travaux préparatoires, du but de la règle, de son esprit, ainsi que des valeurs sur lesquelles elle repose ou encore de sa relation avec d'autres dispositions légales. Il ne convient pas de privilégier une méthode d'inter- prétation mais de s'inspirer d'un pluralisme pragmatique pour rechercher le sens véritable de la norme; en particulier, il ne convient de se fonder sur la com- préhension littérale du texte que s'il en découle sans ambiguïté une solution ma- tériellement juste (ATF 132 III 226 consid. 3.3.5 et les réf. cit.). Si la prise en compte d'éléments historiques n'est pas déterminante pour l'inter- prétation, cette dernière doit néanmoins s'appuyer en principe sur la volonté du législateur et sur les jugements de valeur qui la sous-tendent de manière recon- naissable, tant il est vrai que l'interprétation des normes légales selon leur finalité ne peut se justifier par elle-même, mais doit au contraire être déduite des inten- tions du législateur qu'il s'agit d'établir à l'aide des méthodes d'interprétations habituelles (ATF 129 III 656 consid. 4.1 et les réf. cit.).</w:t>
      </w:r>
    </w:p>
    <w:p>
      <w:r>
        <w:rPr>
          <w:b/>
        </w:rPr>
        <w:t>E. 1.3</w:t>
      </w:r>
    </w:p>
    <w:p>
      <w:r>
        <w:t>L'examen des travaux préparatoires de la loi sur l'organisation judiciaire entrée en vigueur le 1er janvier 2011 révèle notamment ce qui suit : Le 9 octobre 2009, le Grand Conseil a adopté la loi 10462 sur l'organisation ju- diciaire. Cette loi opérait une refonte complète de l'organisation judiciaire can- tonale, afin d'adapter celle-ci à l'entrée en vigueur du CPC à compter du 1er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w:t>
      </w:r>
    </w:p>
    <w:p>
      <w:r>
        <w:t>- 6/12 -</w:t>
      </w:r>
    </w:p>
    <w:p>
      <w:r>
        <w:t>C/1______ Art. 116 Composition</w:t>
      </w:r>
    </w:p>
    <w:p>
      <w:r>
        <w:rPr>
          <w:b/>
        </w:rPr>
        <w:t>E. 1.4</w:t>
      </w:r>
    </w:p>
    <w:p>
      <w:r>
        <w:t>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 ticulier celles rayant la cause du rôle, en application de l'art. 206 CPC, comme le cas d'espèce. Il s'agit dès lors manifestement d'un oubli du législateur, de sorte qu'une interprétation littérale des art. 122 let. b LOJ ne reflèterait pas la volonté réelle du législateur.</w:t>
      </w:r>
    </w:p>
    <w:p>
      <w:r>
        <w:t>- 7/12 -</w:t>
      </w:r>
    </w:p>
    <w:p>
      <w:r>
        <w:t>C/1______ Conformément à la jurisprudence, il convient par conséquent de déroger au texte de l'art. 122 let. b LOJ et d'appliquer cette disposition également aux autres déci- sions rendues par la Commission. Aucun élément ne permet en effet de retenir que le législateur entendait attribuer au Tribunal des baux et loyers de compétence pour statuer sur les décisions de la Commission rayant la cause du rôle. Un re- cours direct au Tribunal fédéral ne paraît pas non plus envisageable au vu du prin- cipe de double degré de juridiction. La Cour de justice est dès lors compétente pour connaître du recours formé par le recourant contre la décision du 9 septembre 2013 rendue par la Commission, rayant la cause du rôle.</w:t>
      </w:r>
    </w:p>
    <w:p>
      <w:r>
        <w:rPr>
          <w:b/>
        </w:rPr>
        <w:t>E. 2</w:t>
      </w:r>
    </w:p>
    <w:p>
      <w:r>
        <w:t>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La commission parlementaire ad hoc Justice 2011, chargée de l'examen des pro- jets de loi liés à l’entrée en vigueur de la nouvelle procédure civile, fédérale n'a pas abordé la question du tribunal compétent concernant les recours contre les autres décisions rendues par la commission de conciliation en matière de baux et loyers (cf. rapport de la commission ad hoc Justice 2011 chargée d’étudier le pro- 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 quement de l'autorité compétente concernant les décisions prises par la Com- mission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w:t>
      </w:r>
    </w:p>
    <w:p>
      <w:r>
        <w:rPr>
          <w:b/>
        </w:rPr>
        <w:t>E. 2.1</w:t>
      </w:r>
    </w:p>
    <w:p>
      <w:r>
        <w:t>Seule la voie du recours est ouverte contre la décision de rayer la cause du rôle, laquelle constitue une "autre décision", au sens de l'art. 319 let. b CPC (JEANDIN, in BOHNET/HALDY/JEANDIN/SCHWEIZER/TAPPY, Code de procédure civile commenté, Bâle, 2011, n. 15 ad art. 319 CPC). La décision entreprise est ainsi susceptible d'un recours immédiat stricto sensu dans les trente jours à compter de sa notification (art. 321 al. 1 CPC), pour autant que le recourant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rPr>
          <w:b/>
        </w:rPr>
        <w:t>E. 2.2</w:t>
      </w:r>
    </w:p>
    <w:p>
      <w:r>
        <w:t>En l'espèce, le recours a été introduit dans les délai et forme prescrits par la loi (art. 130, 131 et 321 CPC) et a été déposé dans une boîte aux lettres de la Poste suisse avant minuit le dernier jour du délai, ce fait étant attesté par deux témoins (arrêts du Tribunal fédéral 5A_267/2008 du 16 octobre 2008 consid. 3.1 et 6B_397/2012 du 20 septembre 2012 consid. 1.2), de sorte qu'il est recevable sous cet angle.</w:t>
      </w:r>
    </w:p>
    <w:p>
      <w:r>
        <w:rPr>
          <w:b/>
        </w:rPr>
        <w:t>E. 2.3</w:t>
      </w:r>
    </w:p>
    <w:p>
      <w:r>
        <w:t>Reste à déterminer si la décision querellée est susceptible de causer un pré- judice difficilement réparable au recourant.</w:t>
      </w:r>
    </w:p>
    <w:p>
      <w:r>
        <w:rPr>
          <w:b/>
        </w:rPr>
        <w:t>E. 2.3.1</w:t>
      </w:r>
    </w:p>
    <w:p>
      <w:r>
        <w:t>La notion de "préjudice difficilement réparable" est plus large que celle de "préjudice irréparable" au sens de l'art. 93 al. 1 let. a LTF (ATF 137 III 380 consid. 2 = SJ 2012 I 73; arrêt du Tribunal fédéral 5D_211/2011 du 30 mars 2012 consid. 6.3; ACJC/327/2012 du 9 mars 2012 consid. 2.4). Est considérée comme "préjudice difficilement réparable" toute incidence dom- mageable (y compris financière ou temporelle), pourvu qu'elle soit difficilement</w:t>
      </w:r>
    </w:p>
    <w:p>
      <w:r>
        <w:t>- 8/12 -</w:t>
      </w:r>
    </w:p>
    <w:p>
      <w:r>
        <w:t>C/1______ réparable. L'instance supérieure devra se montrer exigeante, voire restrictive, avant d'admettre l'accomplissement de cette condition, sous peine d'ouvrir le recours à toute décision ou ordonnance d'instruction, ce que le législateur a claire- ment exclu; il s'agit en effet de se prémunir contre le risque d'un prolongement sans fin du procès (JEANDIN, op. cit., n. 22 ad art. 319 CPC; GUYAN, Beweisverfügung nach art. 154 CPC in ZZZ 2011/2012, p. 175; REICH in BAKER &amp; MC KENZIE, Schweizerische Zivilprozessordnung (ZPO), 2010, n. 8 et 10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décision TCV C3 11 125 du 7 novembre 2011 consid. 2c). C'est au recourant qu'il appartient d'alléguer et d'établir la possibilité que la déci- sion incidente lui cause un préjudice difficilement réparable, à moins que cela ne fasse d'emblée aucun doute (par analogie ATF 134 III 426 consid. 1.2 et 133 III 629 consid. 2.3.1).</w:t>
      </w:r>
    </w:p>
    <w:p>
      <w:r>
        <w:rPr>
          <w:b/>
        </w:rPr>
        <w:t>E. 2.3.2</w:t>
      </w:r>
    </w:p>
    <w:p>
      <w:r>
        <w:t>A teneur de l'art. 273 al. 1 CO, la partie qui veut contester le congé doit saisir l'autorité de conciliation dans les 30 jours qui suivent la réception du congé. Il s'agit d'un délai de péremption (arrêt du Tribunal fédéral 4A_137/2013 du</w:t>
      </w:r>
    </w:p>
    <w:p>
      <w:r>
        <w:rPr>
          <w:b/>
        </w:rPr>
        <w:t>E. 2.3.3</w:t>
      </w:r>
    </w:p>
    <w:p>
      <w:r>
        <w:t>A teneur de l'art. 148 al. 1 CPC, le Tribunal peut accorder un délai sup- plémentaire ou citer les parties à une nouvelle audience lorsque la partie défail- lante en fait la requête et rend vraisemblable que le défaut ne lui est pas imputable ou n'est imputable qu'à une faute légère.</w:t>
      </w:r>
    </w:p>
    <w:p>
      <w:r>
        <w:rPr>
          <w:b/>
        </w:rPr>
        <w:t>E. 2.3.4</w:t>
      </w:r>
    </w:p>
    <w:p>
      <w:r>
        <w:t>En l'espèce, la décision rayant la cause du rôle est susceptible de causer au recourant un préjudice difficilement réparable, puisqu'elle met fin à l'instance. Toutefois, dès lors que le recourant a la possibilité de requérir la restitution, au sens de l'art. 148 CPC, un tel préjudice n'existe plus. En effet, si la restitution est admise, la Commission annule sa précédente décision et cite les parties à une nou- velle audience. Le recours est dès lors irrecevable. 3. Même si le recours avait été recevable, il serait infondé, pour les motifs qui vont suivre. 3.1 A teneur de l'art. 133 let f. CPC, la citation indique, outre le nom et l'adresse de la personne citée à comparaître, l'objet du litige et les parties, les conséquences d'une non comparution.</w:t>
      </w:r>
    </w:p>
    <w:p>
      <w:r>
        <w:t>- 9/12 -</w:t>
      </w:r>
    </w:p>
    <w:p>
      <w:r>
        <w:t>C/1______ Selon une partie de la doctrine, la citation doit spécifier les conséquences de l'absence de comparution, au mieux en indiquant les dispositions légales topiques (STAEHELIN, in Kommentar zur Schweizerischen Zivilprozessordnung [ZPO], SUTTER-SOMM/HASENBÖHLER/LEUENBERGER [éd.], 2ème éd., 2013, n. 5 ad art. 133 CPC). Les conséquences du défaut impliquent que les parties puissent connaître formellement et intégralement leurs droits procéduraux (FREI, in Kommentar zum schweizerischen Privatrecht, Schweizerische Zivilprozessordnung, Berner Kom- mentar, Band I, n. 3 ad art. 147 CPC). Pour d'autres auteurs, la citation doit mentionner que la non comparution est cons- titutive d'un défaut. Les conséquences du défaut pour les parties doivent être pré- 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 Le Tribunal fédéral n'a pas encore jugé s'il est suffisant que la citation à com- paraître à l'audience fasse état des dispositions légales topiques en la matière ou si d'autres mentions plus précises doivent y figurer. 3.2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 ger (art. 204 al. 3 CPC). La partie adverse est informée à l'avance de la repré- sentation (art. 204 al. 4 CPC). En cas de défaut du demandeur, la requête est considérée comme retirée; la pro- 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w:t>
      </w:r>
    </w:p>
    <w:p>
      <w:r>
        <w:t>- 10/12 -</w:t>
      </w:r>
    </w:p>
    <w:p>
      <w:r>
        <w:t>C/1______ fond dans les litiges patrimoniaux dont la valeur litigieuse ne dépasse pas 2'000 fr. (art. 212 al. 1 CPC). En dérogation à la règle générale de l'art. 68 CPC, l'art. 204 al. 1 CPC impose aux parties de comparaître en personne (persönlich, personalmente) à l'audience de conciliation. Le Message précise que la comparution personnelle des parties opti- mise les chances de succès de la conciliation, car il s'agit de la seule possibilité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 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 pagnant l'avant-projet de la commission d'experts mentionnait du reste expressé- ment ce risque (p. 99 ad art. 200, rapport en l'état accessible sur le site Internet www.ejpd.admin.ch; arrêt du Tribunal fédéral 4C_1/2013 du 25 juin 2013 consid. 4.3). Selon la jurisprudence, on peut attendre d'un mandataire professionnellement qua- lifié qu'il connaisse les règles de procédure applicables (arrêt du Tribunal fédéral 2C_628/2010 et 2C_645/2010 du 28 juin 2011 consid. 3.5). En revanche, il n'est pas attendu des avocats qu'outre les textes de loi, ils consultent encore la juris- prudence ou la doctrine y relative (ATF 138 I 49 consid. 8.3.2; 135 III 489 consid. 4.4; 134 I 199 consid. 1.3.1). 3.3 Dans le cas d'espèce, la citation à comparaître à l'audience de conciliation pré- cisait expressément que les parties devaient comparaître personnellement. Au ver- so de ladite citation, les dispositions relatives à la nécessité de se présenter en per- sonne, ainsi que les conséquences de la non comparution, soit le défaut, étaient intégralement mentionnées. Par ailleurs, le recourant était assisté d'un avocat et la citation à comparaître a été adressée au domicile de ce dernier. A la simple lecture</w:t>
      </w:r>
    </w:p>
    <w:p>
      <w:r>
        <w:t>- 11/12 -</w:t>
      </w:r>
    </w:p>
    <w:p>
      <w:r>
        <w:t>C/1______ de l'article 204 CPC, le conseil du recourant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 sus- mentionné rendu par le Tribunal fédéral le 25 juin 2013, rappelait que la com- parution personnelle du locataire en conciliation était nécessaire, ce que l'avocat du recourant ne pouvait ignorer, cette décision ayant d'ailleurs été très largement médiatisé. La Cour retient dès lors que l'attention du recourant a été dûment attirée tant sur la nécessité de comparaître personnellement à l'audience que sur les conséquences du défaut. Il a en conséquence été valablement cité. Le recourant se prévaut de faits nouveaux irrecevables (art. 326 al. 1 CPC) pour soutenir qu'il pouvait de bonne foi croire que sa présence n'était pas nécessaire et que celle de son avocat était suffisante. Il indique également que l'absence de l'in- timée, dans d'autres procédures de conciliation, n'avait pas été relevée. Ces argu- ments sont spécieux. Comme indiqué ci-avant, le recourant savait - ou à tout le moins devait savoir par l'entremise de son conseil - qu'il devait se rendre en per- sonne à l'audience de conciliation.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 mettre une proposition de jugement, soit encore statuer au fond dans les litiges patrimoniaux dont la valeur litigieuse ne dépasse pas 2'000 fr. Le législateur a dès lors clairement différencié les conséquences de l'absence du demandeur ou de celle du défendeur à l'audience de conciliation. 3.4 Dès lors que le recourant n'a pas comparu, c'est à bon droit que la Commission a constaté le défaut du recourant et rayé la cause du rôle. 4.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La procédure est en conséquence gratuite et il ne sera pas alloué de dépens. * * * * *</w:t>
      </w:r>
    </w:p>
    <w:p>
      <w:r>
        <w:t>- 12/12 -</w:t>
      </w:r>
    </w:p>
    <w:p>
      <w:r>
        <w:t>C/1______ PAR CES MOTIFS, La Chambre des baux et loyers :</w:t>
      </w:r>
    </w:p>
    <w:p>
      <w:r>
        <w:t>Déclare irrecevable le recours interjeté le 10 octobre 2013 par A______ contre la décision DCBL/1______ rendue le 9 septembre 2013 par la Commission de conciliation en matière de baux et loyers dans la cause C/1______. Dit que la procédure est gratuite.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