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ACJC/790/2015 vom 20. Juli 2015</w:t>
      </w:r>
    </w:p>
    <w:p>
      <w:r>
        <w:t>GE Cour de justice, 2015-07-20, FR</w:t>
      </w:r>
    </w:p>
    <w:p>
      <w:r>
        <w:rPr>
          <w:b/>
        </w:rPr>
        <w:t xml:space="preserve">Quelle: </w:t>
      </w:r>
      <w:r>
        <w:t>https://mcp.opencaselaw.ch/entscheid/ge_gerichte_ACJC_790_2015</w:t>
      </w:r>
    </w:p>
    <w:p>
      <w:r>
        <w:t>FR: GE_GERICHTE ACJC/790/2015 du 20 juillet 2015</w:t>
      </w:r>
    </w:p>
    <w:p>
      <w:r>
        <w:t>IT: GE_GERICHTE ACJC/790/2015 del 20 luglio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w:t>
      </w:r>
    </w:p>
    <w:p>
      <w:r>
        <w:t>- 7/12 -</w:t>
      </w:r>
    </w:p>
    <w:p>
      <w:r>
        <w:t>C/27040/2011 procédure devant le Tribunal fédéral (RETORNAZ in : Procédure civile suisse, Les grands thèmes pour les praticiens, Neuchâtel, 2010, p. 363; SPÜHLER, BSK ZPO, 2ème éd. 2013 no 9 ad art. 308 CPC).</w:t>
      </w:r>
    </w:p>
    <w:p>
      <w:r>
        <w:t>En l'espèce, la radiation d'une servitude est de nature pécuniaire. La valeur litigieuse correspond à l'augmentation de la valeur que la radiation procurerait au fonds dominant, ou si elle est plus élevée, à la diminution de la valeur du fonds servant.</w:t>
      </w:r>
    </w:p>
    <w:p>
      <w:r>
        <w:rPr>
          <w:b/>
        </w:rPr>
        <w:t>E. 1.2</w:t>
      </w:r>
    </w:p>
    <w:p>
      <w:r>
        <w:t>Compte tenu de ces principes, la valeur litigieuse est largement supérieure à 10'000 fr. Les parties avaient admis une valeur litigieuse de 100'000 fr., qui n'avait pas été revue par le premier juge.</w:t>
      </w:r>
    </w:p>
    <w:p>
      <w:r>
        <w:rPr>
          <w:b/>
        </w:rPr>
        <w:t>E. 1.3</w:t>
      </w:r>
    </w:p>
    <w:p>
      <w:r>
        <w:t>L'appel a été interjeté dans le délai et suivant la forme prescrits par la loi (art. 130, 131, 311 al. 1 CPC). Il est ainsi recevable.</w:t>
      </w:r>
    </w:p>
    <w:p>
      <w:r>
        <w:t>En revanche, le courrier des appelants du 22 juin 2015, ainsi que la pièce jointe, seront déclarés manifestement irrecevables, car adressés à la Cour hors délai sous l'angle du respect du droit d'être entendu, à savoir 6 mois après que la cause ait été gardée à juger, ce dont les parties ont été avisées par courrier du greffe du 23 décembre 2014.</w:t>
      </w:r>
    </w:p>
    <w:p>
      <w:r>
        <w:rPr>
          <w:b/>
        </w:rPr>
        <w:t>E. 1.4</w:t>
      </w:r>
    </w:p>
    <w:p>
      <w:r>
        <w:t>La Cour revoit la cause avec un plein pouvoir d'examen en fait et en droit (art. 310 CPC; HOHL, Procédure civile, tome II, 2010, n. 2314 et 2416; RETORNAZ, op. cit., p. 349 ss, n. 121) dans les limites posées par la maximes des débats (art.55 al.1 CPC) et de disposition (art. 58 al.1 CPC) applicables à la présente cause, laquelle est régie par la procédure ordinaire (art. 243 al.1 a contrario CPC). L'appel peut être formé pour violation du droit ou constatation inexacte des faits (art. 310 let. a et b CPC) et le juge d'appel contrôle librement l'appréciation des preuves effectuée par le juge de première instance (art. 157 CPC en relation avec l'art. 310 let. b CPC) et vérifie si celui-ci pouvait admettre les faits qu'il a retenus.</w:t>
      </w:r>
    </w:p>
    <w:p>
      <w:r>
        <w:t>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(JEANDIN, in CPC, Code de procédure civile commenté, BOHNET/JEANDIN/TAPPY [éd.], 2011, n.2 ss et 6 ad art. 310 CPC; TAPPY, Les voies de droit du nouveau Code de procédure civile, in JdT 2010 III p. 115 ss, 134-135; HOHL, op. cit., Tome II, 2010, n. 2314, 2396 et 2416; RETORNAZ, op. cit., 2010, p. 349 ss, 391 n. 121).</w:t>
      </w:r>
    </w:p>
    <w:p>
      <w:r>
        <w:rPr>
          <w:b/>
        </w:rPr>
        <w:t>E. 2.1</w:t>
      </w:r>
    </w:p>
    <w:p>
      <w:r>
        <w:t>Selon l'art. 317 al.1 CPC, les faits ou moyens nouveaux sont uniquement pris en compte lorsqu'ils sont invoqués ou produits sans retard et ne pouvaient être</w:t>
      </w:r>
    </w:p>
    <w:p>
      <w:r>
        <w:t>- 8/12 -</w:t>
      </w:r>
    </w:p>
    <w:p>
      <w:r>
        <w:t>C/27040/2011 invoqués ou produits devant l'instance précédente, bien que la partie qui s'en prévaut ait fait preuve de toute la diligence requise.</w:t>
      </w:r>
    </w:p>
    <w:p>
      <w:r>
        <w:rPr>
          <w:b/>
        </w:rPr>
        <w:t>E. 2.2</w:t>
      </w:r>
    </w:p>
    <w:p>
      <w:r>
        <w:t>En l'espèce, les appelants font état, pour la première fois dans leur appel, de plusieurs variantes possibles de création d'un accès à la voie publique au bénéfice de leurs parcelles 3______ et 4______. Ces variantes sont autant d'allégués de faits nouvellement articulés en seconde instance. Ils sont dès lors irrecevables, de même que les pièces produites à l'appui de ces nouveaux allégués, les appelants n'alléguant ni ne démontrant pas qu'ils n'auraient pas été en mesure de soumettre les variantes en question devant le premier juge.</w:t>
      </w:r>
    </w:p>
    <w:p>
      <w:r>
        <w:rPr>
          <w:b/>
        </w:rPr>
        <w:t>E. 3</w:t>
      </w:r>
    </w:p>
    <w:p>
      <w:r>
        <w:t>3.1.1 A teneur de l'art. 736 al. 1 CC, le propriétaire d'un fonds grevé par une servitude peut en exiger la radiation s'il démontre qu'elle a perdu toute utilité pour le fonds dominant, cette utilité se définissant par l'intérêt du propriétaire de ce fonds à exercer la servitude conformément à son objet et à son contenu. A cet égard, il faut aussi tenir compte du principe de l'identité de la servitude qui veut que celle-ci ne peut être maintenue dans un autre but que celui pour lequel elle a été constituée (ATF 132 III 651; 130 III 554; arrêt 5C.126/2004 du 21 octobre 2004 consid. 2.2 publié in RNRF 2005, p. 307). Il convient ainsi de rechercher si l'usage de la servitude présente encore pour le propriétaire du fonds dominant, respectivement pour le titulaire de la servitude, un intérêt conforme à son but initial (ATF 121 III 52 consid. 2a; 114 II 426 consid. 2a; arrêt 5C.126/2004 du 21 octobre 2004 consid. 2.2).</w:t>
      </w:r>
    </w:p>
    <w:p>
      <w:r>
        <w:t>3.1.2 En l'espèce, c'est à juste titre que le juge de première instance a admis la radiation des servitudes de passage n° D______ et n° E______ grevant les parcelles 1______ et 2______, propriétés de l'intimé, au profit de la parcelle 3______, propriété des appelants.</w:t>
      </w:r>
    </w:p>
    <w:p>
      <w:r>
        <w:t>Il paraît à cet égard nécessaire de se référer au texte de l'acte constitutif de ces servitudes, puisque l'inscription au Registre foncier ne contient que la mention d'un droit de passage sans plus de précision à cet égard, cette inscription étant trop sommaire pour pouvoir déterminer le contenu de la servitude dans son intégralité (ATF 132 III 651 – SJ 2007 I 165).</w:t>
      </w:r>
    </w:p>
    <w:p>
      <w:r>
        <w:t>À teneur de cet acte constitutif, le passage ainsi aménagé avait été autorisé à l'époque pour " …l'exploitation et la dépouille de la partie de ladite pièce qui lui est échue, au-dessus de la vigne qui se trouve dans la portion de ladite pièce échue à K______, lequel passage devra avoir dix centièmes de centiare, soit douze pieds en largeur …".</w:t>
      </w:r>
    </w:p>
    <w:p>
      <w:r>
        <w:t>Il est par ailleurs non contesté que l'ensemble de la zone était alors à destination agricole et que les parcelles en question était divisées en vignes et champs. Ainsi, le terme "exploitation" utilisé dans l'acte constitutif de cette servitude concernait-il</w:t>
      </w:r>
    </w:p>
    <w:p>
      <w:r>
        <w:t>- 9/12 -</w:t>
      </w:r>
    </w:p>
    <w:p>
      <w:r>
        <w:t>C/27040/2011 strictement celle d'un domaine agricole et lesdites servitudes étaient destinées à faciliter l'activité agricole du propriétaire du fonds dominant.</w:t>
      </w:r>
    </w:p>
    <w:p>
      <w:r>
        <w:t>Les appelants ne peuvent dès lors plus, aujourd'hui, justifier d'un intérêt quelconque à conserver ces servitudes, puisqu'ils ne justifient d'aucune activité à caractère agricole et que, de surcroît, la zone agricole sur laquelle elles ont été constituées a été commuée en zone de construction 5 (villas).</w:t>
      </w:r>
    </w:p>
    <w:p>
      <w:r>
        <w:t>Le jugement critiqué sera ainsi confirmé s'agissant de la radiation de ces servitudes n° D______ et n° E______.</w:t>
      </w:r>
    </w:p>
    <w:p>
      <w:r>
        <w:rPr>
          <w:b/>
        </w:rPr>
        <w:t>E. 4</w:t>
      </w:r>
    </w:p>
    <w:p>
      <w:r>
        <w:t>Les appelants font également valoir, au regard de la portée de l'art. 694 al.2 CC, que des travaux pour aménager un passage sur leur parcelle 5______ en faveur de leurs parcelles 3______ et 4______ engendreraient des inconvénients disproportionnés au regard de ceux, limités, provoqués par une aggravation de la servitude existante sur la parcelle 2______ de l'intimé.</w:t>
      </w:r>
    </w:p>
    <w:p>
      <w:r>
        <w:rPr>
          <w:b/>
        </w:rPr>
        <w:t>E. 4.1</w:t>
      </w:r>
    </w:p>
    <w:p>
      <w:r>
        <w:t>A teneur de l'art. 694 al.1 CC, le propriétaire qui n'a qu'une issue insuffisante sur la voie publique peut exiger de ses voisins qu'ils lui cèdent le passage nécessaire, moyennant pleine indemnité. Selon l'art. 694 al. 2 CC, ce droit s'exerce en premier lieu contre le voisin à qui le passage peut être le plus naturellement réclamé en raison de l'état antérieur des propriétés et des voies d'accès, et au besoin, contre celui sur le fonds duquel le passage est le moins dommageable.</w:t>
      </w:r>
    </w:p>
    <w:p>
      <w:r>
        <w:t>Le propriétaire qui requiert l'octroi d'un passage nécessaire au préjudice de ses voisins doit démontrer qu'il n'a pu obtenir un accès à la voie publique en se fondant sur les dispositions du droit de l'aménagement du territoire.</w:t>
      </w:r>
    </w:p>
    <w:p>
      <w:r>
        <w:t>En effet, le droit d'obtenir un passage au sens de l'art. 694 CC à travers les parcelles d'autrui ne peut être invoqué qu'en cas de réelle nécessité, en tant qu'il s'agit d'une véritable "expropriation de droit privé", raison pour laquelle des conditions sévères sont posées à son octroi. Il n'y a nécessité que si une utilisation ou une exploitation, conformes à la destination du fonds, exigent un accès à la voie publique. En outre, l'état de nécessité n'est admis qu'en l'absence de tout accès à la voie publique, ou lorsqu'un tel accès est insuffisant pour que le bien- fonds puisse être utilisé conformément à sa destination (ATF 136 III 130 consid. 3.1 et réf. citées). Les simples convenances personnelles du propriétaire réclamant un passage ne suffisent à réaliser un état de nécessité (ATF 120 II 185 consid. 2a; 110 II 125 consid. 4; 107 II 323 consid. 3; 105 II 178 consid. 3b; 80 II 311 consid. 2). Enfin, il n'y a pas d'état de nécessité lorsque l'accès à la voie publique peut être réalisé, sans frais disproportionnés, à travers des parcelles contiguës appartenant au même propriétaire que celui qui réclame un droit de passage (CARONI-RUDOLF, Der Notweg, 1969 p. 69; arrêt du Tribunal fédéral 5C.40/2006 du 18 avril 2006 c. 5.1, in RNRF 88/2007 p. 469; SJ 2014 I 352).</w:t>
      </w:r>
    </w:p>
    <w:p>
      <w:r>
        <w:t>- 10/12 -</w:t>
      </w:r>
    </w:p>
    <w:p>
      <w:r>
        <w:t>C/27040/2011</w:t>
      </w:r>
    </w:p>
    <w:p>
      <w:r>
        <w:rPr>
          <w:b/>
        </w:rPr>
        <w:t>E. 4.2</w:t>
      </w:r>
    </w:p>
    <w:p>
      <w:r>
        <w:t>En l'espèce, les appelants soutiennent que la création d'un accès à la voie publique au profit de leurs parcelles concernées nécessiterait l'aménagement d'un passage sur plus de cent mètres sur leur parcelle voisine 5______, impliquant en outre l'abattage de nombreux arbres, alors que l'aménagement d'un tel passage sur le fonds voisin appartenant à l'intimé ne nécessiterait qu'une prolongation d'environ vingt-deux mètres du chemin déjà prévu par ce dernier pour accéder à son garage actuellement en construction.</w:t>
      </w:r>
    </w:p>
    <w:p>
      <w:r>
        <w:t>Ce faisant, les appelants ne contestent pas qu'ils peuvent concrètement aménager un accès suffisant à la voie publique à leurs parcelles 3______ et 4______ en passant à travers leur propre parcelle 4______.</w:t>
      </w:r>
    </w:p>
    <w:p>
      <w:r>
        <w:t>Par ailleurs, selon l'appelant lui-même, il n'y avait pas d'arbres sur la limite entre les parcelles 5______ et 4______; en outre, s'il estimait ne pas pouvoir passer par sa parcelle 5______ depuis ses parcelles 3______ et 4______, constituant une prairie plantées d'arbustes et de vignes, c'était du fait qu'il n'y avait pas de route déjà tracée sur cette parcelle 5______, mais seulement un petit cheminement outre des parties engazonnées.</w:t>
      </w:r>
    </w:p>
    <w:p>
      <w:r>
        <w:t>Il ressort de l'ensemble des éléments de faits rappelés ci-dessus et à la lumière des principes rappelés sous ch. 4.1, que les appelants ne peuvent faire valoir aucun état de nécessité obligeant l'intimé à leur laisser le passage qu'ils réclament sur sa propre parcelle.</w:t>
      </w:r>
    </w:p>
    <w:p>
      <w:r>
        <w:t>En effet, les appelant peuvent concrètement créer, sans frais disproportionnés au regard de l'aménagement existant aussi bien de leur parcelle 5______ que de leurs parcelles 3______ et 4______, un passage carrossable sur la première en faveur des deux autres, afin de permettre un accès à la voie publique à ces parcelles 3______ et 4______.</w:t>
      </w:r>
    </w:p>
    <w:p>
      <w:r>
        <w:rPr>
          <w:b/>
        </w:rPr>
        <w:t>E. 4.3</w:t>
      </w:r>
    </w:p>
    <w:p>
      <w:r>
        <w:t>Les appelants reprochent encore à tort au premier juge de n'avoir pas admis que la création de l'accès précité à travers leurs propres terrains leur imposerait des sacrifices bien plus importants que ceux que l'intimé devrait supporter en cas d'octroi du droit de passage demandé.</w:t>
      </w:r>
    </w:p>
    <w:p>
      <w:r>
        <w:t>Cette pesée des intérêts en présence n'est en effet pas pertinente pour fonder le droit à un passage nécessaire, car elle n'intervient que dans le cas où, le droit à un passage nécessaire ayant été établi, il s'agit de décider où et comment il doit être concrétisé (art. 694 al. 2 et 3 CC; ATF 136 III 130 consid. 5.5; 80 II 311 consid. 3; STEINAUER, Les droits réels, vol. II, 4e éd. 2012, N. 1863a).</w:t>
      </w:r>
    </w:p>
    <w:p>
      <w:r>
        <w:rPr>
          <w:b/>
        </w:rPr>
        <w:t>E. 4.4</w:t>
      </w:r>
    </w:p>
    <w:p>
      <w:r>
        <w:t>Enfin, de simples déclarations d'intention sur l'utilisation future d'un bien- fonds, en particulier la présentation d'un projet de construction, ne suffisent pas pour admettre la nécessité d'un passage sur la parcelle d'autrui en faveur dudit</w:t>
      </w:r>
    </w:p>
    <w:p>
      <w:r>
        <w:t>- 11/12 -</w:t>
      </w:r>
    </w:p>
    <w:p>
      <w:r>
        <w:t>C/27040/2011 bien-fonds, car le futur changement d'affectation allégué doit être suffisamment concrétisé (ATF 117 II 35).</w:t>
      </w:r>
    </w:p>
    <w:p>
      <w:r>
        <w:t>En l'occurrence, les appelants n'ont raisonnablement pas établi la réalité de leur projet de construire une villa sur la parcelle 3______. En effet, ils n'ont pas encore décidé de la simple destination de cette construction envisagée, hésitant entre sa revente à un tiers, sa mise à disposition à leurs deux enfants ou sa conservation pour leur usage personnel, soit des perspectives encore trop vagues pour être considérées comme un changement d'affectation suffisamment concret de cette parcelle 3______.</w:t>
      </w:r>
    </w:p>
    <w:p>
      <w:r>
        <w:rPr>
          <w:b/>
        </w:rPr>
        <w:t>E. 4.5</w:t>
      </w:r>
    </w:p>
    <w:p>
      <w:r>
        <w:t>Vu l'ensemble de ce qui précède, les appelants seront déboutés de leurs conclusions et le jugement entrepris confirmé.</w:t>
      </w:r>
    </w:p>
    <w:p>
      <w:r>
        <w:rPr>
          <w:b/>
        </w:rPr>
        <w:t>E. 5</w:t>
      </w:r>
    </w:p>
    <w:p>
      <w:r>
        <w:t>Les appelants, qui succombent intégralement dans leurs conclusions, seront condamnés aux frais d'appel arrêtés à 9'840 fr. (art. 95 al.1 let. a et al. 2, 105 et 106 al. 1 CPC; art. 17 et 36 du Règlement fixant le tarif des frais en matière civile [RTFMC-RS/GE E 1 05 10]) et entièrement compensés avec l'avance d'un montant correspondant versée par les appelants, qui reste acquise à l'Etat (art. 111 al. 1 CPC).</w:t>
      </w:r>
    </w:p>
    <w:p>
      <w:r>
        <w:t>Les dépens comprennent, selon les art. 95 al. CPC et l'art. 84 RTFMC, le défraiement du représentant professionnel de la partie qui obtient gain de cause.</w:t>
      </w:r>
    </w:p>
    <w:p>
      <w:r>
        <w:t>Dans les contestations portant sur des affaires pécuniaires, le défraiement d'un représentant professionnel est, en règle générale, proportionnel à la valeur litigieuse (art. 20 al.1 LaCC). Lorsque la valeur litigieuse ne peut être fixée de façon exacte, ce défraiement sera déterminé librement en tenant compte des critères fixés par l'art. 84 RTFMC, soit d'après l'importance de la cause, ses difficultés, l'ampleur du travail et le temps consacré.</w:t>
      </w:r>
    </w:p>
    <w:p>
      <w:r>
        <w:t>En l'espèce, la Cour fixera ces dépens à un montant de 6'500 fr., débours et TVA incluse (art. 25 et 26 LaCC), au paiement duquel les appelants seront condamnés en faveur de l'intimé. * * * * *</w:t>
      </w:r>
    </w:p>
    <w:p>
      <w:r>
        <w:t>- 12/12 -</w:t>
      </w:r>
    </w:p>
    <w:p>
      <w:r>
        <w:t>C/27040/2011 PAR CES MOTIFS, La Chambre civile : A la forme : Déclare recevable l'appel interjeté le 20 juin 2014 par A______ et B______ contre le jugement JTPI/6040/2014 rendu le 20 mai 2014 par le Tribunal de Première Instance dans la cause C/27040/2011-17. Au fond : Rejette cet appel et confirme le jugement entrepris. Déboute les parties de toutes autres conclusions. Sur les frais : Arrête les frais judiciaires d'appel à 9'840 fr. Les met à la charge de A______ et B______ et dit qu'ils sont entièrement compensés par l'avance de frais d'un montant correspondant qu'ils ont déjà versée et qui reste acquise à l'Etat. Condamne A______ et B______ à payer la somme de 6'500 fr. à C______ à titre de dépens. Siégeant : Madame Valérie LAEMMEL-JUILLARD, présidente; Madame Nathalie LANDRY-BARTHE, juge; Monsieur Blaise GROSJEAN, juge suppléant;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