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ACJC/790/2012 vom 22. September 2011</w:t>
      </w:r>
    </w:p>
    <w:p>
      <w:r>
        <w:t>GE Cour de justice, 2011-09-22, FR</w:t>
      </w:r>
    </w:p>
    <w:p>
      <w:r>
        <w:rPr>
          <w:b/>
        </w:rPr>
        <w:t xml:space="preserve">Quelle: </w:t>
      </w:r>
      <w:r>
        <w:t>https://mcp.opencaselaw.ch/entscheid/ge_gerichte_ACJC_790_2012</w:t>
      </w:r>
    </w:p>
    <w:p>
      <w:r>
        <w:t>FR: GE_GERICHTE ACJC/790/2012 du 22 septembre 2011</w:t>
      </w:r>
    </w:p>
    <w:p>
      <w:r>
        <w:t>IT: GE_GERICHTE ACJC/790/2012 del 22 settembre 2011</w:t>
      </w:r>
    </w:p>
    <w:p>
      <w:pPr>
        <w:pStyle w:val="Heading2"/>
      </w:pPr>
      <w:r>
        <w:t>Regeste</w:t>
      </w:r>
    </w:p>
    <w:p>
      <w:r>
        <w:t>Résumé: 1. L'art. 83 al. 1 CPC vise le cas de succession à titre particulier et il importe peu que l'aliénateur soit la partie demanderesse ou la partie défenderesse. La notion d'objet litigieux doit s'entendre au sens large : il peut s'agir d'un rapport de droit comme d'une chose. L'aliénation englobe tout changement de situation juridique opéré à titre particulier et qui porte sur la propriété d'une chose ou sur la titularité de l'un ou de l'autre côté du rapport de droit litigieux (consid. 4.1). 2. En principe, seul est légitimé comme partie au procès celui qui est personnellement titulaire d'un droit ou contre lequel un droit est personnellement exercé (consid. 6.1).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t>En revanche, la procédure de première instance était régie par l'ancienne loi de procédure civile genevoise (aLPC; art. 404 CPC).</w:t>
      </w:r>
    </w:p>
    <w:p>
      <w:r>
        <w:rPr>
          <w:b/>
        </w:rPr>
        <w:t>E. 2.1</w:t>
      </w:r>
    </w:p>
    <w:p>
      <w:r>
        <w:t>La cause étant de nature patrimoniale, l'appel est recevable contre une décision finale de première instance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L'appel et le recours, in: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Dans le cas d'espèce, l'appelant Z.______a déposé une demande en paiement de 34'827 fr., de sorte que la valeur litigieuse est supérieure à 10'000 fr. La voie de l'appel est ainsi ouverte. Déposé dans la forme et dans le délai fixé par la loi (art. 130, 131, 311 al. 1 et 314 al. 2 CPC a contrario), l'appel est recevable.</w:t>
      </w:r>
    </w:p>
    <w:p>
      <w:r>
        <w:rPr>
          <w:b/>
        </w:rPr>
        <w:t>E. 2.2</w:t>
      </w:r>
    </w:p>
    <w:p>
      <w:r>
        <w:t>La Cour dispose d'un plein pouvoir d'examen, tant en fait qu'en droit (art. 311 CPC; HOHL, Procédure civile, tome II, 2010, n. 2314 et 2416; RÉTORNAZ, op. cit., p. 349 ss, n. 121).</w:t>
      </w:r>
    </w:p>
    <w:p>
      <w:r>
        <w:rPr>
          <w:b/>
        </w:rPr>
        <w:t>E. 3</w:t>
      </w:r>
    </w:p>
    <w:p>
      <w:r>
        <w:t>La Cour examine, en principe, d'office la recevabilité des pièces produites en appel (REETZ/HILBER, Kommentar zur Schweizerischen Zivilprozessordnung, 2010, n. 26 zu 317 ZPO).</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t>- 6/12 -</w:t>
      </w:r>
    </w:p>
    <w:p>
      <w:r>
        <w:t>C/24324/2009</w:t>
      </w:r>
    </w:p>
    <w:p>
      <w:r>
        <w:t>La demande ne peut être modifiée que si elle repose sur des faits ou des moyens de preuve nouveaux (art. 317 al. 2 let. b CPC).</w:t>
      </w:r>
    </w:p>
    <w:p>
      <w:r>
        <w:rPr>
          <w:b/>
        </w:rPr>
        <w:t>E. 3.2</w:t>
      </w:r>
    </w:p>
    <w:p>
      <w:r>
        <w:t>Dans le cas d'espèce, les appelants font valoir un fait nouveau, soit la conclusion d'un contrat de donation en date du 24 octobre 2011 et prennent des conclusions nouvelles. Le contrat ayant été signé le jour du dépôt de l'acte d'appel, il s'agit d'un vrai nova (echte nova), que les appelants ont invoqués sans retard, de sorte que cette pièce est recevable. Il en va de même de la conclusion nouvelle relative à la substitution de parties.</w:t>
      </w:r>
    </w:p>
    <w:p>
      <w:r>
        <w:rPr>
          <w:b/>
        </w:rPr>
        <w:t>E. 4.1</w:t>
      </w:r>
    </w:p>
    <w:p>
      <w:r>
        <w:t>Il y a substitution des parties lorsque, en cours de procédure, l'une des parties est remplacée par un tiers. L'admissibilité de la substitution des parties était régie par le droit cantonal de procédure, sous réserve de règles fédérales particulières qui imposaient le changement de parties, notamment dans le cas de l'ouverture de la faillite du débiteur (ATF 131 I 57 consid. 2.1; FABIENNE HOHL, Procédure civile, tome I, n. 666 p. 130), jusqu'à l'entrée en vigueur du CPC.</w:t>
      </w:r>
    </w:p>
    <w:p>
      <w:r>
        <w:t>Depuis lors, la substitution est réglée par l'art. 83 CPC. A teneur de cette disposition, lorsque l'objet du litige est aliéné en cours d'instance, l'acquéreur peut reprendre le procès en lieu et place de la partie qui se retire (al. 1). La partie qui se substitue répond de l'ensemble des frais. La partie qui se retire du procès répond solidairement des frais encourus jusqu'à la substitution (al. 2).</w:t>
      </w:r>
    </w:p>
    <w:p>
      <w:r>
        <w:t>L'art. 83 al. 1 CPC vise le cas de succession à titre particulier et il importe peu que l'aliénateur soit la partie demanderesse ou la partie défenderesse. La notion d'objet litigieux doit s'entendre au sens large : il peut s'agir d'un rapport de droit comme d'une chose. L'aliénation englobe tout changement de situation juridique opéré à titre particulier et qui porte sur la propriété d'une chose ou sur la titularité de l'un ou de l'autre côté du rapport de droit litigieux (JEANDIN, Code de procédure civile commenté, Bâle, 2011, n° 8 ad art. 83 CPC).</w:t>
      </w:r>
    </w:p>
    <w:p>
      <w:r>
        <w:t>La substitution peut avoir lieu en procédure d'appel, tant et aussi longtemps que celle-ci permet de faire valoir des faits et moyens de preuve nouveaux (art. 317 CPC). Dans ses effets, la substitution implique un retrait automatique de l'instance par ou contre la partie substituée et, simultanément, son remplacement par la partie substituante (ACJC/328/2009 du 20 mars 2009, consid. 2.2.1). Elle reste en revanche sans effet sur le droit matériel (JEANDIN, Parties au procès : mouvement et (r)évolution, Précis en vue du Code fédéral de procédure civile actuellement en préparation, Zurich 2003, p. 24 et ss).</w:t>
      </w:r>
    </w:p>
    <w:p>
      <w:r>
        <w:t>- 7/12 -</w:t>
      </w:r>
    </w:p>
    <w:p>
      <w:r>
        <w:t>C/24324/2009</w:t>
      </w:r>
    </w:p>
    <w:p>
      <w:r>
        <w:rPr>
          <w:b/>
        </w:rPr>
        <w:t>E. 4.2</w:t>
      </w:r>
    </w:p>
    <w:p>
      <w:r>
        <w:t>En l'espèce, Z.______a cédé l'objet du litige à X.______ le jour du dépôt de l'acte d'appel, de sorte qu'une substitution des parties doit être opérée. Le premier nommé sera en conséquence substitué par le second.</w:t>
      </w:r>
    </w:p>
    <w:p>
      <w:r>
        <w:t>Z.______n'a ainsi plus la qualité de partie, de sorte que l'appel, en ce qui le concerne, sera déclaré irrecevable.</w:t>
      </w:r>
    </w:p>
    <w:p>
      <w:r>
        <w:rPr>
          <w:b/>
        </w:rPr>
        <w:t>E. 5</w:t>
      </w:r>
    </w:p>
    <w:p>
      <w:r>
        <w:t>L'appelant sollicite qu'une conciliation soit ordonnée par la Cour de céans.</w:t>
      </w:r>
    </w:p>
    <w:p>
      <w:r>
        <w:rPr>
          <w:b/>
        </w:rPr>
        <w:t>E. 5.1</w:t>
      </w:r>
    </w:p>
    <w:p>
      <w:r>
        <w:t>L'instance d'appel peut ordonner des débats ou statuer sur pièces (art. 316 al. 1 CPC), si l'affaire n'est pas en l'état d'être jugée (JEANDIN, op. cit., n. 4 ad art. 316 CPC). Elle peut en tout état de cause tenter une conciliation des parties (art. 124 al. 2 CPC; GASSER/RICKLI, Schweizerische Zivilprozessordnung, Kurzkom-mentar, Zurich, 2010, n. 2 ad art. 316 CPC; JEANDIN, op. cit., n. 7 ad art. 316 CPC).</w:t>
      </w:r>
    </w:p>
    <w:p>
      <w:r>
        <w:rPr>
          <w:b/>
        </w:rPr>
        <w:t>E. 5.2</w:t>
      </w:r>
    </w:p>
    <w:p>
      <w:r>
        <w:t>Comme cela sera développé sous ch. 6.3 infra, la présente cause est en état d'être tranchée et il ne justifie pas d'ordonner des débats. Il en va ainsi de même d'une tentative de règlement amiable du litige, conciliation qui peut d'ailleurs être menée en parallèle de la procédure par les parties.</w:t>
      </w:r>
    </w:p>
    <w:p>
      <w:r>
        <w:rPr>
          <w:b/>
        </w:rPr>
        <w:t>E. 6.1</w:t>
      </w:r>
    </w:p>
    <w:p>
      <w:r>
        <w:t>Celui qui prétend à une chose ou à un droit doit, pour l'obtenir légitimement, en cas de refus du débiteur ou du détenteur, en former la demande devant le tribunal compétent (art. 1 al. 1 aLPC). Les nouvelles dispositions de procédure sont identiques à l'aLPC. En effet, le Tribunal n'entre en matière que sur les demandes et les requêtes qui satisfont aux conditions de recevabilité de l'action (art. 59 al. 1 CPC). Ces conditions sont notamment que le demandeur ou le requérant a un intérêt digne de protection (art. 59 al. 2 let. a CPC). La légitimation active reconnaît au demandeur le droit de faire valoir sa prétention, la légitimation passive permet au demandeur de faire valoir ladite prétention contre le défendeur (ATF 125 III 82, consid. 1a). En principe, seul est légitimé comme partie au procès celui qui est personnellement titulaire d'un droit ou contre lequel un droit est personnellement exercé (ATF 126 III 59 consid. 1a; 108 II 216 consid. 1 = JdT 1983 I 361). La question de la légitimation active et passive doit être examinée indépendamment de la question de savoir si les éléments objectifs de la prétention litigieuse sont réalisés ou non (ATF 126 III 59 consid. 1a; 114 II 345 consid. 3a). La détermination de la légitimation active ou passive n'emporte donc pas décision sur l'existence de la prétention de la partie demanderesse, que ce soit dans son principe ou dans sa quotité (ATF 125 III 82 consid. 1a; 114 II 345 consid. 3a).</w:t>
      </w:r>
    </w:p>
    <w:p>
      <w:r>
        <w:t>- 8/12 -</w:t>
      </w:r>
    </w:p>
    <w:p>
      <w:r>
        <w:t>C/24324/2009 Selon la jurisprudence, la légitimation active et la légitimation passive dans un procès relèvent du fondement matériel de l'action. Elle appartient au sujet actif ou passif du droit invoqué en justice et son absence entraîne non pas l'irrecevabilité de la demande, mais son rejet. La légitimation active ou passive est l'aspect subjectif du rapport juridique invoqué en justice. Elle ne constitue pas une condition d'ordre procédural dont dépend la recevabilité de l'action (BERTOSSA/GAILLARD/GUYET/SCHMIDT, Commentaire de la loi de procédure civile genevoise, n. 4 ad art. 1 aLPC et les jurisprudences citées; SJ 1995 p. 214; ATF 128 III 50 consid. 2b/bb, doctrine et jurisprudence restant valables sous le nouveau droit; BOHNET, Code de procédure civile commenté, n° 94 ad art. 59 CPC). La question de la légitimation active et passive doit être examinée d'office, même en appel (BERTOSSA/GAILLARD/GUYET/SCHMIDT, op. cit., n. 4 ad art. 1 aLPC; ATF 108 II 216 = JdT 1983 I 361 consid. 1). Il incombe cependant au demandeur au fond de prouver les faits desquels il tire sa légitimation active (ATF 130 III 417 consid. 3.1).</w:t>
      </w:r>
    </w:p>
    <w:p>
      <w:r>
        <w:rPr>
          <w:b/>
        </w:rPr>
        <w:t>E. 6.2</w:t>
      </w:r>
    </w:p>
    <w:p>
      <w:r>
        <w:t>Dans le contrat d'entreprise, une des parties (l'entrepreneur) s'oblige à exécuter un ouvrage, moyennant un prix que l'autre partie (le maître) s'engage à lui payer (art. 363 CO). Le maître dispose d'un droit d'agir en garantie pour des défauts de l'ouvrage à certaines conditions (art. 368 CO). Certains aspects du droit de garantie peuvent être cédés (droit à la réfection et créance en dommages-intérêts) aux conditions de l'art. 164 CO. Dans le cadre d'un contrat de vente, les droits à la garantie cédés peuvent s'ajouter aux droits à la garantie découlant du contrat de vente ou les remplacer (TERCIER, FAVRE, B. CARRON, Les contrats spéciaux, 2009, nos 4638 et ss, not. 4644). L'art. 164 al. 1 CO dispose que le créancier peut céder son droit à un tiers sans le consentement du débiteur, à moins que la cession n'en soit interdite par la loi, la convention ou la nature de l'affaire. Aux termes de l'art. 165 al. 1 CO, la cession n'est valable que si elle a été constatée par écrit.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(TF 4A_248/2008 du 1er septembre 2008, consid. 3.2; ATF 105 II 83 consid. 2 p. 84).</w:t>
      </w:r>
    </w:p>
    <w:p>
      <w:r>
        <w:rPr>
          <w:b/>
        </w:rPr>
        <w:t>E. 6.3</w:t>
      </w:r>
    </w:p>
    <w:p>
      <w:r>
        <w:t>En l'espèce, il n'est pas contesté par les parties que les travaux réalisés par l'intimée et objet du présent litige, relèvent du contrat d'entreprise et que celui-ci a été conclu au printemps 2007.</w:t>
      </w:r>
    </w:p>
    <w:p>
      <w:r>
        <w:t>- 9/12 -</w:t>
      </w:r>
    </w:p>
    <w:p>
      <w:r>
        <w:t>C/24324/2009</w:t>
      </w:r>
    </w:p>
    <w:p>
      <w:r>
        <w:t>X.______ était, selon ses propres déclarations devant le premier juge, propriétaire du véhicule à cette date. Il a vendu l'Audi à son frère Z.______ dans le courant de l'été 2007. La Cour relève en premier lieu que le contrat de vente de la voiture n'a pas été versé à la procédure. Il ne ressort par ailleurs pas des pièces produites que l'appelant X.______ aurait établi en faveur de Z.______ une cession des droits à la garantie relatifs au contrat d'entreprise, devant être faite par écrit. Ainsi, et comme l'a retenu à bon droit le premier juge, seul X.______, en sa qualité de maître d'ouvrage, disposait des droits d'agir en garantie à l'encontre de l'intimée. Au jour du dépôt de sa demande en paiement, Z.______n'avait en conséquence pas la légitimation active. La substitution de parties intervenant durant la procédure d'appel ne modifie en rien ce qui précède, dès lors qu'elle ne vise que la qualité pour appeler et qu'elle n'a pas d'influence sur le droit matériel. Par ailleurs, la légitimation active est examinée lors de la saisine du Tribunal et la substitution de partie n'a pas pour effet de créer, a posteriori, la titularité du droit invoqué en justice.</w:t>
      </w:r>
    </w:p>
    <w:p>
      <w:r>
        <w:t>L'appel se révèle en conséquence infondé et le jugement entrepris sera confirmé, en tant qu'il dénie la légitimation active à Z.______.</w:t>
      </w:r>
    </w:p>
    <w:p>
      <w:r>
        <w:rPr>
          <w:b/>
        </w:rPr>
        <w:t>E. 7</w:t>
      </w:r>
    </w:p>
    <w:p>
      <w:r>
        <w:t>L'intimée sollicite que l'appelant Z.______ soit condamné à l'amende au sens de l'art. 128 al. 3 CPC, vu le comportement de celui-ci. Elle soutient que le contrat de donation n'a été conclu que dans le but d'accorder la qualité de partie à X.______, afin de pallier au défaut de légitimation active de celui-ci.</w:t>
      </w:r>
    </w:p>
    <w:p>
      <w:r>
        <w:rPr>
          <w:b/>
        </w:rPr>
        <w:t>E. 7.1</w:t>
      </w:r>
    </w:p>
    <w:p>
      <w:r>
        <w:t>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 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 HALDY, Code de procédure civile commenté, 2011 n° 9 ad art. 128 CPC).</w:t>
      </w:r>
    </w:p>
    <w:p>
      <w:r>
        <w:rPr>
          <w:b/>
        </w:rPr>
        <w:t>E. 7.2</w:t>
      </w:r>
    </w:p>
    <w:p>
      <w:r>
        <w:t>En l'espèce, l'appelant Z.______a appelé du jugement par mesure de précaution, n'étant, au moment du dépôt de l'écriture, pas certain du sort que réserverait la Cour de céans à la conclusion en substitution de partie. Compte tenu de l'admission de celle-ci, l'appel formé par Z.______ sera déclaré irrecevable, de</w:t>
      </w:r>
    </w:p>
    <w:p>
      <w:r>
        <w:t>- 10/12 -</w:t>
      </w:r>
    </w:p>
    <w:p>
      <w:r>
        <w:t>C/24324/2009 sorte qu'il n'a pas agi de manière téméraire. L'intimée sera partant déboutée sur ce point.</w:t>
      </w:r>
    </w:p>
    <w:p>
      <w:r>
        <w:rPr>
          <w:b/>
        </w:rPr>
        <w:t>E. 8</w:t>
      </w:r>
    </w:p>
    <w:p>
      <w:r>
        <w:t>Les frais (frais judiciaires et dépens) sont mis à la charge de la partie succombante (art. 95 et 106 1ère phrase CPC). En l'espèce, les frais judiciaires de la présente décision seront fixés à 2'000 fr. et sont entièrement couverts par l'avance de frais de 3'000 fr. faite par l'appelant. Vu l'issue du litige, ils seront mis à la charge de l'appelant, qui succombe principalement (art. 17 et 35 RTFMC - E 1 05.10). Le solde de 1'000 fr. lui sera ainsi restitué. Celui-ci sera également condamné aux dépens de l'intimée assistée d'un conseil devant la Cour, arrêtés à 2'000 fr., débours et TVA compris (art. 96 et 105 al. 2 CPC; art. 85 et 90 du règlement fixant le tarif des greffes en matières civile du 22 décembre 2010, E 1 05.10). Pour le surplus, l'appelant répond de l'ensemble des frais (art. 83 al. 2 1ère phrase CPC), de sorte qu'il sera également condamné au paiement des dépens de première instance, pour lesquels l'appelant Z.______ sera solidairement tenu (art. 83 al. 2 2ème phrase CPC). * * * * *</w:t>
      </w:r>
    </w:p>
    <w:p>
      <w:r>
        <w:t>- 11/12 -</w:t>
      </w:r>
    </w:p>
    <w:p>
      <w:r>
        <w:t>C/24324/2009 PAR CES MOTIFS, La Chambre civile : Préalablement : Constate la substitution, en qualité d'appelant, de Z.______ par X.______. A la forme : Déclare recevable l'appel interjeté par X.______ contre le jugement JTPI/13217/2011 rendu le 22 septembre 2011 par le Tribunal de première instance dans la cause C/24324/2009-5. Déclare irrecevable l'appel en tant qu'il est formé par Z.______. Déclare recevable la pièce nouvelle produite le 24 octobre 2011 par X.______. Au fond : Confirme le jugement. Déboute les parties de toutes autres conclusions. Sur les frais : Arrête les frais judiciaires d'appel à 2'000 fr. et les met à charge de X.______. Dit qu'ils sont entièrement couverts par l'avance de frais, acquise à l'Etat. Invite les services financiers à rembourser 1'000 fr. à X.______. Condamne X.______ à payer à Y.______ SA 2'000 fr. à titre de dépens d'appel. Condamne X.______ et Z.______, conjointement et solidairement, à payer à Y.______ SA 2'500 fr. à titre de dépens de première instance.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w:t>
      </w:r>
    </w:p>
    <w:p>
      <w:r>
        <w:t>- 12/12 -</w:t>
      </w:r>
    </w:p>
    <w:p>
      <w:r>
        <w:t>C/24324/2009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