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ACJC/78/2022 vom 25. Januar 2022</w:t>
      </w:r>
    </w:p>
    <w:p>
      <w:r>
        <w:t>GE Cour de justice, 2022-01-25, FR</w:t>
      </w:r>
    </w:p>
    <w:p>
      <w:r>
        <w:rPr>
          <w:b/>
        </w:rPr>
        <w:t xml:space="preserve">Quelle: </w:t>
      </w:r>
      <w:r>
        <w:t>https://mcp.opencaselaw.ch/entscheid/ge_gerichte_ACJC_78_2022</w:t>
      </w:r>
    </w:p>
    <w:p>
      <w:r>
        <w:t>FR: GE_GERICHTE ACJC/78/2022 du 25 janvier 2022</w:t>
      </w:r>
    </w:p>
    <w:p>
      <w:r>
        <w:t>IT: GE_GERICHTE ACJC/78/2022 del 25 gennaio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mois x 3 ans), quand bien même la sous-bailleresse se prévaut d'un contrat à durée déterminée, contesté par l'appelant; Qu'en conséquence, la voie de l'appel est ouverte contre le prononcé de l'évacuation, la valeur litigieuse de 10'000 fr. étant atteinte; Que, déposé selon la forme requis et dans le délai légal (art. 130, 311 al. 1 et 314 al. 1 CPC), l'appel est recevable; Que l'appel suspend les effets de la décision entreprise dans cette mesure;</w:t>
      </w:r>
    </w:p>
    <w:p>
      <w:r>
        <w:t>- 4/5 -</w:t>
      </w:r>
    </w:p>
    <w:p>
      <w:r>
        <w:t>C/20979/2021 Qu'en revanche, seule la voie du recours est ouverte contre les mesures d'exécution (art. 309 let. a et 319 let. a CPC); Que le recours ne suspend pas la force de chose jugée, l'instance d'appel pouvant suspendre le caractère exécutoire (art. 325 al. 1 et 2 CPC); Que le recours est recevable (art. 321 al. 1 et 2 CPC); Que l'appel et le recours seront traités dans la même décision (art. 125 CPC); Que, dans la mesure où l'appel suspend les effets de la décision, cette suspension s'étend également aux mesures d'exécution; Qu'ainsi, la requête de restitution de l'effet suspensif est sans objet. * * * * *</w:t>
      </w:r>
    </w:p>
    <w:p>
      <w:r>
        <w:t>- 5/5 -</w:t>
      </w:r>
    </w:p>
    <w:p>
      <w:r>
        <w:t>C/20979/2021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