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ACJC/78/2016 vom 27. Januar 2016</w:t>
      </w:r>
    </w:p>
    <w:p>
      <w:r>
        <w:t>GE Cour de justice, 2016-01-27, FR</w:t>
      </w:r>
    </w:p>
    <w:p>
      <w:r>
        <w:rPr>
          <w:b/>
        </w:rPr>
        <w:t xml:space="preserve">Quelle: </w:t>
      </w:r>
      <w:r>
        <w:t>https://mcp.opencaselaw.ch/entscheid/ge_gerichte_ACJC_78_2016</w:t>
      </w:r>
    </w:p>
    <w:p>
      <w:r>
        <w:t>FR: GE_GERICHTE ACJC/78/2016 du 27 janvier 2016</w:t>
      </w:r>
    </w:p>
    <w:p>
      <w:r>
        <w:t>IT: GE_GERICHTE ACJC/78/2016 del 27 gennaio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12'825 fr. (loyer de 1'425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rejet de la requête en évacuation. En revanche, contre le rejet des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w:t>
      </w:r>
    </w:p>
    <w:p>
      <w:r>
        <w:t>- 5/8 -</w:t>
      </w:r>
    </w:p>
    <w:p>
      <w:r>
        <w:t>C/15867/2015 décisions prises en procédure sommaire (art. 314 al. 1 et 321 al. 2 CPC), ce qui est le cas des procédures en protection des cas clairs (art. 248 let. b et 257 CPC).</w:t>
      </w:r>
    </w:p>
    <w:p>
      <w:r>
        <w:rPr>
          <w:b/>
        </w:rPr>
        <w:t>E. 1.3</w:t>
      </w:r>
    </w:p>
    <w:p>
      <w:r>
        <w:t>L'acte du 23 septembre 2015 comporte des conclusions portant tant sur le prononcé de l'évacuation que sur l'exécution de celle-ci; il s'agit dès lors d'un appel et d'un recours, en dépit de son intitulé. Ceux-ci ont été formés dans le délai et la forme prescrits par la loi. Ils sont donc recevables.</w:t>
      </w:r>
    </w:p>
    <w:p>
      <w:r>
        <w:t>Par souci de simplification, la bailleresse sera désigné ci-après comme l'appelante.</w:t>
      </w:r>
    </w:p>
    <w:p>
      <w:r>
        <w:rPr>
          <w:b/>
        </w:rPr>
        <w:t>E. 1.4</w:t>
      </w:r>
    </w:p>
    <w:p>
      <w:r>
        <w:t>Selon l'art. 121 al. 2 LOJ, dans les causes fondées sur les art. 257d et 282 CO, la Chambre des baux et loyers de la Cour de justice siège sans assesseurs.</w:t>
      </w:r>
    </w:p>
    <w:p>
      <w:r>
        <w:rPr>
          <w:b/>
        </w:rPr>
        <w:t>E. 2</w:t>
      </w:r>
    </w:p>
    <w:p>
      <w:r>
        <w:t>L'appelante fait grief au Tribunal d'avoir violé les art. 257d CO et 257 CPC, en déclarant sa requête irrecevable, alors que les documents produits remplissaient les conditions posées par ces dispositions. Elle lui reproche également d'avoir violé l'art. 8 CC et le principe de la bonne foi et d'avoir fait preuve de formalisme excessif, en retenant qu'elle n'avait pas établi que l'avis comminatoire expédié à l'intimé était signé. Ce dernier avait déclaré avoir reçu l'avis et n'avait pas soulevé d'informalité. Elle admet en appel que son administrateur a "paraphé" la copie de l'avis comminatoire du 22 décembre 2014 pour attester de la "réalité dudit avis".</w:t>
      </w:r>
    </w:p>
    <w:p>
      <w:r>
        <w:rPr>
          <w:b/>
        </w:rPr>
        <w:t>E. 2.1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t>En matière d'expulsion, l'on admettra que la situation juridique est claire lorsqu'un congé est donné pour cause de demeure avérée du locataire et que les règles formelles de résiliation ont été respectées (BOHNET, CPC, Code de procédure</w:t>
      </w:r>
    </w:p>
    <w:p>
      <w:r>
        <w:t>- 6/8 -</w:t>
      </w:r>
    </w:p>
    <w:p>
      <w:r>
        <w:t>C/15867/2015 civile commenté, BOHNET/HALDY/JEANDIN/ SCHWEIZER/TAPPY (éd.), Bâle, 2011, n. 13 ad art. 257 CPC; LACHAT, Procédure civile en matière de baux et loyers, 2011, p. 167).</w:t>
      </w:r>
    </w:p>
    <w:p>
      <w:r>
        <w:rPr>
          <w:b/>
        </w:rPr>
        <w:t>E. 2.2</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w:t>
      </w:r>
    </w:p>
    <w:p>
      <w:r>
        <w:rPr>
          <w:b/>
        </w:rPr>
        <w:t>E. 2.3</w:t>
      </w:r>
    </w:p>
    <w:p>
      <w:r>
        <w:t>Le délai comminatoire doit être imparti par écrit au locataire, ce qui suppose que les exigences des art. 12 à 15 CO soient respectées (BURKHALTER/MARTINEZ- FAVRE, Le droit suisse du bail à loyer, Commentaire, 2011, n. 24 ad art. 257d CO). Conformément à l'art. 13 al. 1 CO, les actes juridiques soumis à la forme écrite doivent être signés par le déclarant qui manifeste ainsi sa volonté de faire sien le contenu de l'acte dans son ensemble (XOUDIS, Commentaire romand CO I, 2ème éd. 2012, n. 3, 7, 8 et 11 ad art. 13 CO; CORBOZ, Les congés affectés d'un vice, in 9ème Séminaire sur le droit du bail, 1996, p. 16). La personne qui signe doit apposer manuellement sa signature sur l'acte (art. 14 CO; XOUDIS, op. cit., n. 4 ad art. 14-15 CO; CORBOZ, op. cit., p. 16). L'apposition de la signature autographe, dans les déclarations où une forme est prescrite (art. 11 al. 2 CO), répond au besoin de pouvoir attribuer une déclaration à une personne clairement identifiable (ATF 140 III 54 consid. 2.3; arrêt du Tribunal fédéral 4C.308/2004 du 10 novembre 2004 consid. 2.2.2).</w:t>
      </w:r>
    </w:p>
    <w:p>
      <w:r>
        <w:rPr>
          <w:b/>
        </w:rPr>
        <w:t>E. 2.4</w:t>
      </w:r>
    </w:p>
    <w:p>
      <w:r>
        <w:t>La maxime des débats s'applique à la procédure des cas clairs (arrêt du Tribunal fédéral 4A_447/2011 du 20 septembre 2011). Toutefois, le juge applique le droit d'office (art. 57 CPC). Il apprécie librement la portée juridique des faits sans être lié par l'argumentation juridique des parties (cf. ATF 135 III 397 consid. 1.4; arrêt du Tribunal fédéral 4A_306/2015 du 14 octobre 2015 consid. 3).</w:t>
      </w:r>
    </w:p>
    <w:p>
      <w:r>
        <w:rPr>
          <w:b/>
        </w:rPr>
        <w:t>E. 2.5</w:t>
      </w:r>
    </w:p>
    <w:p>
      <w:r>
        <w:t>En l'espèce, au vu des principes rappelés ci-dessus, c'est à bon droit que le Tribunal a examiné d'office la recevabilité de la procédure du cas clair et les</w:t>
      </w:r>
    </w:p>
    <w:p>
      <w:r>
        <w:t>- 7/8 -</w:t>
      </w:r>
    </w:p>
    <w:p>
      <w:r>
        <w:t>C/15867/2015 conditions d'application de l'art. 257d CO, en particulier la question de savoir si l'avis comminatoire respectait les exigences légales de forme. La bailleresse, qui supportait le fardeau de la preuve de la validité de l'avis comminatoire, a produit une copie de celui-ci qui a été paraphée par son administrateur pour les besoins de la présente cause, après le rejet d'une première requête en évacuation. Ainsi, l'appelante n'a pas été en mesure de produire une copie de l'avis comminatoire tel qu'envoyé à l'intimé. Les déclarations de ce dernier lors de l'audience du Tribunal du 9 septembre 2015 ne modifient pas cette constatation, d'autant plus que le pli recommandé du 22 décembre 2014 a été retourné à la bailleresse et que celle-ci n'a pas allégué avoir renvoyé l'avis comminatoire au locataire par pli simple. Eu égard au formalisme caractérisant le droit du bail, l'on ne saurait renoncer trop facilement à exiger que le texte de l'avis comminatoire soit établi avec certitude, d'autant plus que les conséquences de cette mise en demeure sont particulièrement rigoureuses pour le locataire et qu'il était aisé pour la bailleresse de conserver une photocopie de l'avis. Dans la mesure où la situation juridique n'était pas claire, c'est à bon droit que le Tribunal a déclaré irrecevable la requête de l'appelante. Les griefs de celle-ci étant infondés, le jugement attaqué sera confirmé.</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- 8/8 -</w:t>
      </w:r>
    </w:p>
    <w:p>
      <w:r>
        <w:t>C/15867/2015 PAR CES MOTIFS, La Chambre des baux et loyers : A la forme : Déclare recevable l'appel interjeté le 23 septembre 2015 par SI A______ SA contre le jugement JTBL/1007/2015 rendu le 9 septembre 2015 par le Tribunal des baux et loyers dans la cause C/15867/2015-7 SE. Au fond : Confirme le jugement attaqué.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