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ACJC/788/2022 vom 10. Juni 2022</w:t>
      </w:r>
    </w:p>
    <w:p>
      <w:r>
        <w:t>GE Cour de justice, 2022-06-10, FR</w:t>
      </w:r>
    </w:p>
    <w:p>
      <w:r>
        <w:rPr>
          <w:b/>
        </w:rPr>
        <w:t xml:space="preserve">Quelle: </w:t>
      </w:r>
      <w:r>
        <w:t>https://mcp.opencaselaw.ch/entscheid/ge_gerichte_ACJC_788_2022</w:t>
      </w:r>
    </w:p>
    <w:p>
      <w:r>
        <w:t>FR: GE_GERICHTE ACJC/788/2022 du 10 juin 2022</w:t>
      </w:r>
    </w:p>
    <w:p>
      <w:r>
        <w:t>IT: GE_GERICHTE ACJC/788/2022 del 10 giugno 2022</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 2 CPC). En l'espèce, le recours a été déposé en temps utile et selon la forme prescrite par la loi (art 321 CPC), de sorte qu'il est recevable.</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La procédure sommaire étant applicable (art. 251 let. a CPC), la preuve des faits allégués doit être apportée par titres (art. 254 al. 1 CPC). Les maximes des débats et de disposition s'appliquent (art. 55 al. 1, 255 let. a a contrario et art. 58 al. 1 CPC).</w:t>
      </w:r>
    </w:p>
    <w:p>
      <w:r>
        <w:rPr>
          <w:b/>
        </w:rPr>
        <w:t>E. 2</w:t>
      </w:r>
    </w:p>
    <w:p>
      <w:r>
        <w:t>Le Tribunal a considéré qu'il ressortait de l'acte de cession notarié des 21 mai et 31 juillet 2001 que le montant de 150'083 fr. 50 avait été versé à la recourante. Quant au montant de 100'000 fr., il lui avait été payé le 12 avril 2001 de sorte que la recourante devait être déboutée de ses conclusions en mainlevée de l'opposition.</w:t>
      </w:r>
    </w:p>
    <w:p>
      <w:r>
        <w:t>Cette dernière fait valoir que la cédule hypothécaire de 380'000 fr. en deuxième rang constitue un titre de mainlevée provisoire. Le Tribunal avait omis de tenir</w:t>
      </w:r>
    </w:p>
    <w:p>
      <w:r>
        <w:t>- 5/7 -</w:t>
      </w:r>
    </w:p>
    <w:p>
      <w:r>
        <w:t>C/10693/2021 compte du fait que cette "cédule hypothécaire avait été transférée le 8 avril 2002, à tout le moins, par D______", ce qui n'aurait eu aucun sens si les montants réclamés avaient été payés. L'intimée n'avait pas produit les justificatifs des paiements dont elle se prévalait.</w:t>
      </w:r>
    </w:p>
    <w:p>
      <w:r>
        <w:rPr>
          <w:b/>
        </w:rPr>
        <w:t>E. 2.1</w:t>
      </w:r>
    </w:p>
    <w:p>
      <w:r>
        <w:t>Le créancier dont la poursuite se fonde sur une reconnaissance de dette constatée par acte authentique ou sous seing privé peut requérir la mainlevée provisoire (art. 82 al. 1 LP). Le juge la prononce si le débiteur ne rend pas immédiatement vraisemblable sa libération (art. 82 al. 2 LP).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résulter d'un ensemble de pièces dans la mesure où il en ressort les éléments nécessaires (ATF 139 III 297 consid. 2.3.1; arrêt du Tribunal fédéral 5A_388/2019 du 7 janvier 2020 consid. 4.1.2).</w:t>
      </w:r>
    </w:p>
    <w:p>
      <w:r>
        <w:t>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5A_740/2018 du 1er avril 2019 consid. 6.1.4) 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(arrêt du Tribunal fédéral 5A_952/2020 du 2 février 2021 consid. 4.2).</w:t>
      </w:r>
    </w:p>
    <w:p>
      <w:r>
        <w:rPr>
          <w:b/>
        </w:rPr>
        <w:t>E. 2.2</w:t>
      </w:r>
    </w:p>
    <w:p>
      <w:r>
        <w:t>En l'espèce, la cédule hypothécaire produite par la recourante ne vaut pas titre de mainlevée de l'opposition car elle ne comporte pas l'indication du débiteur. Conformément à la jurisprudence, la recourante devait, pour obtenir la mainlevée provisoire, produire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ce qu'elle n'a pas fait.</w:t>
      </w:r>
    </w:p>
    <w:p>
      <w:r>
        <w:t>- 6/7 -</w:t>
      </w:r>
    </w:p>
    <w:p>
      <w:r>
        <w:t>C/10693/2021 Il ressort au contraire du document signé par la recourante le 12 avril 2001 et de l'acte notarié des 21 mai et 31 juillet 2001 que D______ n'avait, en mars 2001, qu'une dette de 150'083 fr. 50 envers la recourante, et non de 250'083 fr. 50 comme celle-ci le soutient. L'intégralité de cette dette a été réglée le 12 avril 2001, soit il y a plus de vingt ans. Contrairement à ce que fait valoir la recourante, le fait que la notaire lui ait remis la cédule en second rang de 380'000 fr. dont elle se prévaut n'accrédite pas sa thèse. En effet, il ressort tant de l'acte notarié des 21 mai et 31 juillet 2001 que du courrier de la notaire du 23 mai 2002 que cette cédule était libre de tout engagement. Elle ne saurait dès lors valoir reconnaissance de dette. Le recours doit par conséquent être rejeté. Il sera relevé que le procédé utilisé par la recourante, à savoir réclamer aux héritiers de son ex-mari le paiement d'une somme de 150'000 fr. dont ce dernier s'est acquitté il y 20 ans, majorée d'un montant de 100'000 fr. qui n'a jamais été dû, pourrait être considéré comme téméraire, comme le soutient l'intimée, et passible d'une amende de procédure au sens de l'art. 128 al. 3 CPC. Par gain de paix, et dans un souci d'apaisement, la Cour renoncera cependant à prononcer une telle amende. Copie du présent arrêt sera adressé au service de l'Assistance juridique.</w:t>
      </w:r>
    </w:p>
    <w:p>
      <w:r>
        <w:rPr>
          <w:b/>
        </w:rPr>
        <w:t>E. 3</w:t>
      </w:r>
    </w:p>
    <w:p>
      <w:r>
        <w:t>La recourante, qui succombe, sera condamnée aux frais judiciaires de recours, arrêtés à 1'125 fr. Dans la mesure où elle plaide au bénéfice de l'assistance judiciaire, ces frais seront provisoirement supportés par l'Etat de Genève qui pourra en réclamer le remboursement ultérieurement (art. 106 al. 1, 122 et 123 CPC; 48 et 61 OELP).</w:t>
      </w:r>
    </w:p>
    <w:p>
      <w:r>
        <w:t>Les dépens alloués à l'intimée seront fixés à 2'500 fr. débours et TVA inclus (art. 84, 85, 88, 89 et 90 RTFMC).</w:t>
      </w:r>
    </w:p>
    <w:p>
      <w:r>
        <w:t>- 7/7 -</w:t>
      </w:r>
    </w:p>
    <w:p>
      <w:r>
        <w:t>C/10693/2021 PAR CES MOTIFS, La Chambre civile : A la forme : Déclare recevable le recour interjeté le 28 décembre 2021 par A______ contre le jugement JTPI/15778/2021 rendu le 14 décembre 2021 par le Tribunal de première instance dans la cause C/10693/2021-23 SML. Au fond : Le rejette. Déboute les parties de toutes autres conclusions. Sur les frais : Met à la charge de A______ les frais judiciaires de recours, arrêtés à 1'125 fr. et dit qu'ils sont provisoirement supportés par l'Etat de Genève. Condamne A______ à verser à B______ 2'500 fr. à titre de dépens de recours. Siégeant : Monsieur Laurent RIEBEN, président; Madame Fabienne GEISINGER-MARIETHOZ, Monsieur Ivo BUETTI,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