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ACJC/784/2015 vom 18. November 2014</w:t>
      </w:r>
    </w:p>
    <w:p>
      <w:r>
        <w:t>GE Cour de justice, 2014-11-18, FR</w:t>
      </w:r>
    </w:p>
    <w:p>
      <w:r>
        <w:rPr>
          <w:b/>
        </w:rPr>
        <w:t xml:space="preserve">Quelle: </w:t>
      </w:r>
      <w:r>
        <w:t>https://mcp.opencaselaw.ch/entscheid/ge_gerichte_ACJC_784_2015</w:t>
      </w:r>
    </w:p>
    <w:p>
      <w:r>
        <w:t>FR: GE_GERICHTE ACJC/784/2015 du 18 novembre 2014</w:t>
      </w:r>
    </w:p>
    <w:p>
      <w:r>
        <w:t>IT: GE_GERICHTE ACJC/784/2015 del 18 novembre 2014</w:t>
      </w:r>
    </w:p>
    <w:p>
      <w:pPr>
        <w:pStyle w:val="Heading2"/>
      </w:pPr>
      <w:r>
        <w:t>Erwägungen</w:t>
      </w:r>
    </w:p>
    <w:p>
      <w:r>
        <w:rPr>
          <w:b/>
        </w:rPr>
        <w:t>E. 1</w:t>
      </w:r>
    </w:p>
    <w:p>
      <w:r>
        <w:t>Les jugements de divorce sont susceptibles d'appel si l'affaire est non pécuniaire ou si, pécuniaire, la valeur litigieuse au dernier état des conclusions devant le Tribunal de première instance atteint 10'000 fr. au moins (art. 308 CPC). En l'espèce, l'appel porte sur les contributions à l'entretien de l'enfant et de l'épouse, dont la valeur litigieuse capitalisée selon l'art. 92 al. 1 CPC s'élevait devant le premier juge à plus de 10'000 fr. (les conclusions de l'appelante pour son seul entretien étant de 800 fr. par mois pour une durée indéterminée, soit 800 fr. x 12 x 20 = 192'000 fr.). La voie de l'appel est dès lors ouverte. L'appel a été formé dans le délai et selon la forme prescrits par la loi (art. 130, 131, 145 al. 1 let. a, 308 al. 1 let. a, 311 al. 1, 313 al. 1 CPC). Il est ainsi recevable. Dès lors que l'appel porte sur une décision finale l'effet suspensif y est automatiquement attaché dans la mesure des conclusions prises en appel (art. 315 al. 1 CPC).</w:t>
      </w:r>
    </w:p>
    <w:p>
      <w:r>
        <w:rPr>
          <w:b/>
        </w:rPr>
        <w:t>E. 2</w:t>
      </w:r>
    </w:p>
    <w:p>
      <w:r>
        <w:t>L'intimé étant domicilié à l'étranger, la présente cause revêt un caractère international. Dans la mesure où l'appelante et l'enfant mineur des parties sont domiciliés dans le canton de Genève, le premier juge a retenu à bon droit la compétence des autorités genevoises (art. 59 al. 1 let a, 63 al. 1 et 79 al. 1 LDIP) ainsi que l'application du droit suisse (art. 49, 63 al. 2, 83 al. 1 LDIP et 4 de la Convention de La Haye du 2 octobre 1973 sur la loi applicable aux obligations alimentaires), ce qui n'est au demeurant pas contesté par les parties.</w:t>
      </w:r>
    </w:p>
    <w:p>
      <w:r>
        <w:rPr>
          <w:b/>
        </w:rPr>
        <w:t>E. 3</w:t>
      </w:r>
    </w:p>
    <w:p>
      <w:r>
        <w:t>La Cour revoit la cause en fait et en droit avec un plein pouvoir d'examen (art. 310 CPC). S'agissant du sort de l'enfant mineur, les maximes d'office et inquisitoire illimitée s'appliquent (art. 296 al. 3 CPC), ce qui a pour conséquence que la Cour n'est pas liée par les conclusions des parties, la maxime d'office s'étendant à la procédure</w:t>
      </w:r>
    </w:p>
    <w:p>
      <w:r>
        <w:t>- 7/11 -</w:t>
      </w:r>
    </w:p>
    <w:p>
      <w:r>
        <w:t>C/9046/2014 devant les deux instances cantonales (ATF 129 III 417 consid. 2.1.2;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w:t>
      </w:r>
    </w:p>
    <w:p>
      <w:r>
        <w:rPr>
          <w:b/>
        </w:rPr>
        <w:t>E. 4.1</w:t>
      </w:r>
    </w:p>
    <w:p>
      <w:r>
        <w:t>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ACJC/456/2015 du 24 avril 2015 consid 1.3; ACJC/267/2015 du 6 mars 2015 consid. 1.3; ACJC/480/2014 du 11 avril 2014 consid. 1.4).</w:t>
      </w:r>
    </w:p>
    <w:p>
      <w:r>
        <w:rPr>
          <w:b/>
        </w:rPr>
        <w:t>E. 4.2</w:t>
      </w:r>
    </w:p>
    <w:p>
      <w:r>
        <w:t>En l'espèce, les pièces nouvelles produites par l'appelante sont recevables puisqu'elles concernent des faits touchant à la situation de l'enfant mineur. Les pièces produites par l'intimé le sont également puisqu'il s'agit d'informations générales accessibles à tout un chacun (art. 151 CPC).</w:t>
      </w:r>
    </w:p>
    <w:p>
      <w:r>
        <w:rPr>
          <w:b/>
        </w:rPr>
        <w:t>E. 5</w:t>
      </w:r>
    </w:p>
    <w:p>
      <w:r>
        <w:t>L'appelante ne reproche pas au Tribunal de s'être fondé sur les tabelles zurichoises pour procéder au calcul de la contribution d'entretien de l'enfant mais uniquement de la faire contribuer à cet entretien à raison de 725 fr. par mois alors qu'elle ne couvre pas ses propres charges et que le montant auquel le père a été condamné est inférieur à 15% de son revenu mensuel net.</w:t>
      </w:r>
    </w:p>
    <w:p>
      <w:r>
        <w:t>5.1.1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w:t>
      </w:r>
    </w:p>
    <w:p>
      <w:r>
        <w:t>- 8/11 -</w:t>
      </w:r>
    </w:p>
    <w:p>
      <w:r>
        <w:t>C/9046/2014 d'appréciation en se référant à des critères dénués de pertinence, ou en ne tenant pas compte d'éléments essentiels, ou encore si, d'après l'expérience de la vie, le montant fixé apparaît manifestement inéquitable (arrêt du Tribunal fédéral 5A_892/2013 du 29 juillet 2014 consid. 4.4.3 les références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précité). 5.1.2 Selon la méthode dite du "minimum vital", les besoins de l'enfant mineur et la capacité contributive du débirentier sont déterminés en ajoutant à leurs montants de base admis par le droit des poursuites leurs charges incompressibles respectives (loyer, assurance-maladie, etc.) (art. 93 LP; arrêt du Tribunal fédéral 5C.142/2006 du 2 février 2007 consid. 4.3; ACJC/785/2009 du 19 juin 2009 consid. 4.1; PERRIN, Commentaire romand, Code civil I, n. 23 ss ad art. 285 CC; BASTONS BULLETTI, L'entretien après le divorce : Méthodes de calcul, montant, durée et limites, in SJ 2007 II p. 84 ss et 101 ss). En présence de revenus moyens, la contribution peut être fixée sur la base du revenu de parent débiteur, arrêtée entre 15 et 17% pour un enfant, 25 et 27% pour deux enfants, pour autant que la pension reste en rapport avec le niveau de vie et la capacité contributive du débiteur (ATF 116 II 110; arrêts du Tribunal fédéral 5A_680/2014 du 21 novembre 2014 consid. 6.2; 5A_229/2013 du 25 septembre 2013 consid. 5.2; 5A_178/2008 du 23 avril 2008 consid. 3.3 et les références; BASTONS BULLETTI, op. cit., p. 107 s.). Le juge peut également se référer aux recommandations de l'Office de la jeunesse et de la formation professionnelle du canton de Zurich ("Tabelles zurichoises") établies sur la base de revenus statistiques de l'ordre de 7'000 fr. à 7'500 f. par mois pour évaluer le coût de l'enfant selon son âge et le nombre d'enfants vivant dans le même ménage. A teneur de celles-ci, dans leur édition du 1er janvier 2014, le coût d'entretien mensuel d'un enfant unique a été évalué à 2'025 fr. entre 1 et</w:t>
      </w:r>
    </w:p>
    <w:p>
      <w:r>
        <w:rPr>
          <w:b/>
        </w:rPr>
        <w:t>E. 5.2</w:t>
      </w:r>
    </w:p>
    <w:p>
      <w:r>
        <w:t>En l'espèce, le niveau de revenus des parents se situant dans la tranche de ceux retenus pour l'établissement des tabelles zurichoises, il n'est pas critiquable</w:t>
      </w:r>
    </w:p>
    <w:p>
      <w:r>
        <w:t>- 9/11 -</w:t>
      </w:r>
    </w:p>
    <w:p>
      <w:r>
        <w:t>C/9046/2014 que le Tribunal s'y soit référé pour calculer le montant de la contribution due à l'entretien de l'enfant, ce que les parties ne contestent pas. C'est également avec raison qu'il a soustrait du montant global nécessaire à l'entretien de l'enfant la part estimée pour les soins et l'éducation de celui-ci dès lors que sa mère les lui prodigue personnellement. Il ne s'agissait pas pour le Tribunal de faire supporter à l'appelante, comme elle l'affirme, des dépenses qu'elle ne pourrait supporter eu égard à ses ressources, mais bien de tenir compte du fait que ce poste n'engendre pas de coût en argent. Par conséquent, c'est avec raison que le Tribunal a retenu que les montants proposés par le père à titre de contribution d'entretien de 700 fr. jusqu'à l'âge de 12 ans, 800 fr. de 13 à 15 ans puis 900 fr., couvraient les dépenses nécessaires pour l'enfant qui s'élevaient à 407 fr. de 1 à 6 ans, 572 fr. de 7 à 12 ans et 877 fr. de 13 à 18 ans selon les tabelles zurichoises après déduction des allocations familiales (300 fr.) et des rentes invalidité complémentaires perçues par l'enfant (593 fr.). Retenir de tels montants était d'autant moins critiquable que les charges admises par le premier juge pour l'enfant, non critiquées par l'appelante - étant précisé que celle-ci a allégué que le suivi psychothérapeutique de l'enfant était cher sans pour autant articuler de montant - s'élèvent à 78 fr. 30 (971 fr. 30 – 300 fr. d'allocations familiales – 593 fr. de rentes complémentaires AI), de sorte que la contribution fixée à l'entretien de l'enfant lui permettra très largement de couvrir ses charges admissibles ainsi que des loisirs. Enfin, même si les sommes proposées représentent de 10 à 12% des revenus nets du père, on ne saurait procéder à un calcul abstrait et accorder à l'enfant une contribution d'entretien en totale disproportion de ses besoins. Au vu de ce qui précède, l'appel est infondé sur ce point.</w:t>
      </w:r>
    </w:p>
    <w:p>
      <w:r>
        <w:rPr>
          <w:b/>
        </w:rPr>
        <w:t>E. 6</w:t>
      </w:r>
    </w:p>
    <w:p>
      <w:r>
        <w:t>L'appelante ne critique pas le montant de la contribution fixé pour son entretien par le Tribunal mais uniquement la durée du versement de celle-ci.</w:t>
      </w:r>
    </w:p>
    <w:p>
      <w:r>
        <w:rPr>
          <w:b/>
        </w:rPr>
        <w:t>E. 6.1</w:t>
      </w:r>
    </w:p>
    <w:p>
      <w:r>
        <w:t>Si l'on ne peut raisonnablement attendre d'un époux qu'il pourvoie lui-même à son entretien convenable, y compris à la constitution d'une prévoyance vieillesse appropriée, son conjoint lui doit une contribution équitable (art. 125 al. 1 CC). Selon une jurisprudence constante, même si le conjoint est inséré professionnellement, on ne peut exiger qu'il travaille à plein temps qu'après la 16ème année du plus jeune des enfants dont il a la garde, et à temps partiel qu'après la 10ème année de celui-ci (ATF 137 III 102 consid. 4.2.2.2; 115 II 6 consid. 3d; arrêt du Tribunal fédéral 5A_46/2015 du 26 mai 2015 consid. 5.3).</w:t>
      </w:r>
    </w:p>
    <w:p>
      <w:r>
        <w:t>- 10/11 -</w:t>
      </w:r>
    </w:p>
    <w:p>
      <w:r>
        <w:t>C/9046/2014</w:t>
      </w:r>
    </w:p>
    <w:p>
      <w:r>
        <w:rPr>
          <w:b/>
        </w:rPr>
        <w:t>E. 6.2</w:t>
      </w:r>
    </w:p>
    <w:p>
      <w:r>
        <w:t>En l'espèce, l'appelante, invalide à 50%, est actuellement en formation à 50%, eu égard à sa capacité résiduelle de travail. Dès lors qu'à ce jour elle prend déjà soin de son fils tout en poursuivant une formation à mi-temps, elle ne saurait prétendre cesser toute activité une fois sa formation achevée. Par conséquent, c'est à juste titre que le Tribunal a retenu que l'appelante, qui sera au bénéfice d'un diplôme d'intendante à partir de juin 2017, pourra exercer une activité à temps partiel dès que son fils aurait atteint l'âge de 10 ans, soit dès mai 2018. Par ailleurs, l'appelante ne rend pas vraisemblable que l'enfant aura un besoin accru de sa présence à l'avenir. Dans la mesure où l'appelante ne conteste pas qu'une activité à mi-temps dans le domaine où elle se forme actuellement pourrait lui permettre de percevoir un revenu couvrant, avec ses rentes invalidité, toutes les charges qu'a retenues le Tribunal à son égard - non critiquées en appel - c'est à juste titre que le premier juge a limité le versement de la contribution au mois de mai 2018, lorsque l'enfant aura atteint l'âge de 10 ans. Au vu de ce qui précède, l'appel est infondé sur ce point également.</w:t>
      </w:r>
    </w:p>
    <w:p>
      <w:r>
        <w:rPr>
          <w:b/>
        </w:rPr>
        <w:t>E. 7.1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7.2</w:t>
      </w:r>
    </w:p>
    <w:p>
      <w:r>
        <w:t>Les frais judiciaires de la procédure d'appel, fixés à 1'000 fr. seront mis à la charge de l'appelante qui succombe (art. 96 CPC et 30 et 35 du Règlement fixant le tarif des frais en matière civile [RTFMC - E 1 05.10]). Ils seront compensés avec l'avance de frais du même montant fournie par l'appelante, qui reste acquise à l'Etat à due concurrence (art. 111 al. 1 CPC). Il sera ordonné aux Services financiers du Pouvoir judiciaire de restituer à l'appelante la somme de 450 fr. S'agissant d'un litige qui relève du droit de la famille, chaque partie supportera ses propres dépens (art. 107 al. 1 let. c CPC).</w:t>
      </w:r>
    </w:p>
    <w:p>
      <w:r>
        <w:rPr>
          <w:b/>
        </w:rPr>
        <w:t>E. 8</w:t>
      </w:r>
    </w:p>
    <w:p>
      <w:r>
        <w:t>Le présent arrêt est susceptible d'un recours en matière civile au Tribunal fédéral (art. 72 al. 1 LTF), la valeur litigieuse étant supérieure à 30'000 fr. au sens de l'art. 74 al. 1 let. b LTF. * * * * *</w:t>
      </w:r>
    </w:p>
    <w:p>
      <w:r>
        <w:t>- 11/11 -</w:t>
      </w:r>
    </w:p>
    <w:p>
      <w:r>
        <w:t>C/9046/2014 PAR CES MOTIFS, La Chambre civile : A la forme : Déclare recevable l'appel interjeté le 19 décembre 2014 par A______ contre le jugement JTPI/14571/2014 rendu le 18 novembre 2014 par le Tribunal de première instance dans la cause C/9046/2014-5. Au fond : Confirme le jugement entrepris. Déboute les parties de toutes autres conclusions. Sur les frais : Arrête les frais judiciaires d'appel à 1'000 fr., les met à la charge de A______ et les compense avec l'avance de frais effectuée par cette dernière laquelle reste acquise à l'Etat de Genève à due concurrence. Ordonne aux Services financiers du Pouvoir judiciaire de restituer le solde de l'avance de frais de 450 fr. à A______. Dit que chaque partie supporte ses propres dépens. Siégeant : Monsieur Cédric-Laurent MICHEL, président; Mesdames Pauline ERARD et Paola CAMPOMAGNANI, juges; Madame Marie NIERMARÉCHAL, greffière. 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