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ACJC/783/2013 vom 27. Juni 2013</w:t>
      </w:r>
    </w:p>
    <w:p>
      <w:r>
        <w:t>GE Cour de justice, 2013-06-27, FR</w:t>
      </w:r>
    </w:p>
    <w:p>
      <w:r>
        <w:rPr>
          <w:b/>
        </w:rPr>
        <w:t xml:space="preserve">Quelle: </w:t>
      </w:r>
      <w:r>
        <w:t>https://mcp.opencaselaw.ch/entscheid/ge_gerichte_ACJC_783_2013</w:t>
      </w:r>
    </w:p>
    <w:p>
      <w:r>
        <w:t>FR: GE_GERICHTE ACJC/783/2013 du 27 juin 2013</w:t>
      </w:r>
    </w:p>
    <w:p>
      <w:r>
        <w:t>IT: GE_GERICHTE ACJC/783/2013 del 27 giugno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CPC); Que la transaction judiciaire a le caractère d'un acte de procédure qui entraîne la fin du procès et jouit de la force jugée (TAPPY, Code de procédure civile commenté, n. 17 ad art. 241); Qu'il y a lieu de le constater avec la conséquence que la cause est rayée du rôle en tant qu'elle concerne C______ et D______ (art. 241 al. 3 CPC); Considérant que l'issue de cette partie du litige justifie d'arrêter les frais judiciaires, mis à la charge de A______, à 1'500 fr. (art. 19 al. 1 LaCC; art. 17 du règlement fixant le tarif des frais en matière civile, RTFMC); Que ces frais sont compensés à concurrence de ce montant avec l'avance de 7'500 fr. fournie par A______, le montant de 1'500 fr. étant désormais acquis à l'Etat pour cette partie du litige. * * * * *</w:t>
      </w:r>
    </w:p>
    <w:p>
      <w:r>
        <w:t>- 4/4 -</w:t>
      </w:r>
    </w:p>
    <w:p>
      <w:r>
        <w:t>C/21513/2012 PAR CES MOTIFS, La Chambre civile : Donne acte à C______ personnellement et à D______ de leurs engagements envers A______ et B______. Assortit ces engagements de la menace, en cas de non respect, de la peine d'amende prévue par l'art. 242 du Code pénal suisse. Fixe à 1'500 fr. les frais judiciaires pour cette partie du litige. Met les frais judiciaires à la charge de A______. Dit que ces frais sont compensés par l'avance de frais opérée par A______, qui est acquise à l'Etat à concurrence du montant de 1'500 fr. Dit que les parties gardent leurs frais respectifs et conservent leurs propres dépens. Déboute les parties de toutes autres conclusions. Cela fait : Raye la cause du rôle, en tant qu'elle est dirigée contre C______ et D______. Siégeant : Monsieur Jean RUFFIEUX, président; Madame Ariane WEYENETH et Madame Elena SAMPEDRO, juges; Madame Nathalie DESCHAMPS,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