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ACJC/77/2022 vom 30. September 2021</w:t>
      </w:r>
    </w:p>
    <w:p>
      <w:r>
        <w:t>GE Cour de justice, 2021-09-30, FR</w:t>
      </w:r>
    </w:p>
    <w:p>
      <w:r>
        <w:rPr>
          <w:b/>
        </w:rPr>
        <w:t xml:space="preserve">Quelle: </w:t>
      </w:r>
      <w:r>
        <w:t>https://mcp.opencaselaw.ch/entscheid/ge_gerichte_ACJC_77_2022</w:t>
      </w:r>
    </w:p>
    <w:p>
      <w:r>
        <w:t>FR: GE_GERICHTE ACJC/77/2022 du 30 septembre 2021</w:t>
      </w:r>
    </w:p>
    <w:p>
      <w:r>
        <w:t>IT: GE_GERICHTE ACJC/77/2022 del 30 settembre 2021</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rPr>
          <w:b/>
        </w:rPr>
        <w:t>E. 2</w:t>
      </w:r>
    </w:p>
    <w:p>
      <w:r>
        <w:t>Les conclusions, les allégations de fait et les preuves nouvelles sont irrecevables (art. 326 al. 1 CPC).</w:t>
      </w:r>
    </w:p>
    <w:p>
      <w:r>
        <w:rPr>
          <w:b/>
        </w:rPr>
        <w:t>E. 2.1</w:t>
      </w:r>
    </w:p>
    <w:p>
      <w:r>
        <w:t>Selon l'art. 138 al. 1 CPC, les citations, les ordonnances et les décisions sont notifiées par envoi recommandé ou d'une autre manière contre accusé de réception. L'acte est réputé notifié lorsqu'il a été remis au destinataire, à un de ses</w:t>
      </w:r>
    </w:p>
    <w:p>
      <w:r>
        <w:t>- 4/6 -</w:t>
      </w:r>
    </w:p>
    <w:p>
      <w:r>
        <w:t>C/3751/2021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d'être entendu est une garantie constitutionnelle de caractère formel, dont la violation entraîne en principe l'annulation de la décision attaquée, indépendamment des chances de succès du recours au fond.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w:t>
      </w:r>
    </w:p>
    <w:p>
      <w:r>
        <w:t>- 5/6 -</w:t>
      </w:r>
    </w:p>
    <w:p>
      <w:r>
        <w:t>C/3751/2021</w:t>
      </w:r>
    </w:p>
    <w:p>
      <w:r>
        <w:rPr>
          <w:b/>
        </w:rPr>
        <w:t>E. 2.2</w:t>
      </w:r>
    </w:p>
    <w:p>
      <w:r>
        <w:t>En l'occurrence, la fiction de notification ne trouve pas application, vu la jurisprudence précitée, s'agissant d'une procédure de mainlevée d'opposition formée à un commandement de payer. Le recourant, qui n'a pas retiré le pli le citant à l'audience du Tribunal, n'a ainsi pas été régulièrement convoqué. Il s'ensuit que le jugement entrepris sera annulé. La cause sera retournée au premier juge pour qu'il cite régulièrement le recourant, puis rende une nouvelle décision.</w:t>
      </w:r>
    </w:p>
    <w:p>
      <w:r>
        <w:rPr>
          <w:b/>
        </w:rPr>
        <w:t>E. 3</w:t>
      </w:r>
    </w:p>
    <w:p>
      <w:r>
        <w:t>Vu l'issue du recours, les frais du recours, arrêtés à 1'500 fr., seront mis à la charge de l'Etat de Genève (art. 107 al. 2 CPC); l'avance de frais versée par le recourant lui sera restituée.</w:t>
      </w:r>
    </w:p>
    <w:p>
      <w:r>
        <w:t>L'intimée, qui a conclu au rejet du recours, versera, à titre de dépens, débours inclus, 1'000 fr. (art. 84, 85, 89, 90 RTFMC; art. 25 et 26 LaCC) au recourant, lequel a déposé une première écriture ne comportant que treize allégués de fait, un bref développement juridique relatif à la violation du droit d'être entendu, ainsi que de vaines conclusions en effet suspensif, de même qu'une réplique au contenu largement irrecevable. * * * * *</w:t>
      </w:r>
    </w:p>
    <w:p>
      <w:r>
        <w:t>- 6/6 -</w:t>
      </w:r>
    </w:p>
    <w:p>
      <w:r>
        <w:t>C/3751/2021 PAR CES MOTIFS, La Chambre civile : A la forme : Déclare recevable le recours formé le 18 octobre 2021 par A______ contre le jugement JTPI/12571/2021 rendu le 30 septembre 2021 par le Tribunal de première instance dans la cause C/3751/2021–25 SML. Au fond : Annule ce jugement. Cela fait: Renvoie la cause au Tribunal pour nouvelle décision. Sur les frais : Arrête les frais du recours à 1'500 fr. et les met à la charge de l'Etat de Genève. Invite les Services financiers du Pouvoir judiciaire à restituer à A______ 1'500 fr. Condamne B______ SA à verser à A______ 1'000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