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ACJC/776/2025 vom 17. Juni 2025</w:t>
      </w:r>
    </w:p>
    <w:p>
      <w:r>
        <w:t>GE Cour de justice, 2025-06-17, FR</w:t>
      </w:r>
    </w:p>
    <w:p>
      <w:r>
        <w:rPr>
          <w:b/>
        </w:rPr>
        <w:t xml:space="preserve">Quelle: </w:t>
      </w:r>
      <w:r>
        <w:t>https://mcp.opencaselaw.ch/entscheid/ge_gerichte_ACJC_776_2025</w:t>
      </w:r>
    </w:p>
    <w:p>
      <w:r>
        <w:t>FR: GE_GERICHTE ACJC/776/2025 du 17 juin 2025</w:t>
      </w:r>
    </w:p>
    <w:p>
      <w:r>
        <w:t>IT: GE_GERICHTE ACJC/776/2025 del 17 giugno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attaqué constitue une décision finale rendue dans une cause patrimoniale dont la valeur litigieuse est supérieure à 10'000 fr., de sorte que la voie de l'appel est ouverte (art. 308 al. 1 let. a et al. 2 CPC).</w:t>
      </w:r>
    </w:p>
    <w:p>
      <w:r>
        <w:rPr>
          <w:b/>
        </w:rPr>
        <w:t>E. 1.3</w:t>
      </w:r>
    </w:p>
    <w:p>
      <w:r>
        <w:t>Interjeté dans le délai et la forme prévus par la loi (art. 130, 131, 142, 143 et 311 al. 1 CPC), l'appel est recevable.</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2.1</w:t>
      </w:r>
    </w:p>
    <w:p>
      <w:r>
        <w:t>L'appelant sollicite la production des pièces relatives aux frais de traitement et à leur prise en charge par l'intimé. Il soutient que le Tribunal a violé son droit d'être entendu, en n'établissant pas de façon suffisamment claire et dans quelle proportion les frais médicaux de l'intimé n'avaient pas été pris en charge par un autre biais, vraisemblablement son assurance-maladie. Il soutient que B______</w:t>
      </w:r>
    </w:p>
    <w:p>
      <w:r>
        <w:t>- 9/15 -</w:t>
      </w:r>
    </w:p>
    <w:p>
      <w:r>
        <w:t>C/19094/2022 avait, tout comme il l'avait fait pour son incapacité de travail devant le Tribunal, opéré une "confusion" concernant la cause (accident ou maladie) de ses frais médicaux et leur prise en charge. En ne produisant pas la deuxième page du commandement de payer, il n'était pas possible de connaître l'issue de la procédure d'opposition, à supposer que l'intimé ait formé opposition.</w:t>
      </w:r>
    </w:p>
    <w:p>
      <w:r>
        <w:rPr>
          <w:b/>
        </w:rPr>
        <w:t>E. 2.1.1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2.2.2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rPr>
          <w:b/>
        </w:rPr>
        <w:t>E. 2.2</w:t>
      </w:r>
    </w:p>
    <w:p>
      <w:r>
        <w:t>En l'espèce, c'est à juste titre que le Tribunal n'a pas sollicité la production, par l'intimé, de pièces complémentaires relatives à la prise en charge de ses frais médicaux.</w:t>
      </w:r>
    </w:p>
    <w:p>
      <w:r>
        <w:t>Il sera tout d'abord relevé que l'intimé n'a pas sollicité le paiement, par l'appelant, de la somme correspondant aux factures des HUG datées du 2 août, respectivement du 8 août 2022 (pièces 7 et 8 app., cf. supra consid. C.f.a), de sorte que l'on peine à comprendre les griefs que formule l'appelant quant à leur</w:t>
      </w:r>
    </w:p>
    <w:p>
      <w:r>
        <w:t>- 10/15 -</w:t>
      </w:r>
    </w:p>
    <w:p>
      <w:r>
        <w:t>C/19094/2022 prise en charge hypothétique par une assurance-maladie. Au demeurant, ces factures concernent des prestations différentes, à savoir des traitements ambulatoires, des prestations de la facture du 6 mars 2023 des HUG, relative à une hospitalisation de l'intimé (pièce 17 int., cf. supra consid. C.f.b). Dès lors, la question de la prise en charge de ces factures n'est pas de nature à influencer l'issue de litige. Le Tribunal n'avait ainsi pas à ordonner la production de pièces complémentaires à ce propos.</w:t>
      </w:r>
    </w:p>
    <w:p>
      <w:r>
        <w:t>Il ressort pour le surplus très clairement de la facture des HUG du 6 mars 2023 que les frais d'hospitalisation de l'intimé se sont élevés à 9'081 fr. 50. Le justificatif de remboursement mentionne par ailleurs sans équivoque que ces frais sont liés à l'accident dont l'intimé a fait l'objet, et que sa prise en charge est soumise à la LAA. Contrairement à ce que soutient l'appelant, le justificatif ne fait pas état d'un "forfait hospitalisation" de 11'075 fr., mais fait référence à la valeur du point tarifaire qui, appliqué au coût relatif, aboutit bien à une facture d'un montant de 9'081 fr. 50 (11'075 [points tarifaires] x 0.8200 [coût relatif] = 9'081 fr. 50). Il n'existe ainsi aucune "confusion" quant à l'origine de ces frais (à savoir, l'accident de l'intimé), ni doute quant au montant de cette facture (à savoir, 9'081 fr. 50). L'appelant n'explique par ailleurs pas en quoi la production du courrier du 26 janvier 2023, auquel les HUG se réfèrent à l'appui de leur facture, permettrait d'apporter un éclairage différent sur le montant de la facture, respectivement sa prise en charge. L'appelant n'explique finalement pas en quoi la production de la deuxième page du commandement de payer permettrait d'obtenir des informations complémentaires sur la prise en charge de la facture par une assurance. Au demeurant, l'appelant ne conteste pas l'absence de couverture accidents pour ses employés au moment de l'accident de l'intimé, ni que l'assurance souscrite postérieurement n'a pas pris en charge les frais médicaux y relatifs (cf. infra consid. 3.2).</w:t>
      </w:r>
    </w:p>
    <w:p>
      <w:r>
        <w:t>C'est ainsi à bon droit que le Tribunal s'est estimé suffisamment renseigné sur les frais médicaux dont avait fait l'objet l'intimé, et était ainsi fondé à refuser d'ordonner la production de pièces complémentaires en faisant une appréciation anticipée, sans que le droit à la preuve de l'appelant et son droit d'être entendu n'aient été violés. Pour les mêmes motifs, la Cour ne donnera pas suite à la conclusion de l'appelant sur ce point.</w:t>
      </w:r>
    </w:p>
    <w:p>
      <w:r>
        <w:rPr>
          <w:b/>
        </w:rPr>
        <w:t>E. 3.1</w:t>
      </w:r>
    </w:p>
    <w:p>
      <w:r>
        <w:t>L'appelant reproche au Tribunal de l'avoir condamné à payer les frais médicaux résultant de la facture du 6 mars 2023 des HUG. Aucune faute ne lui était imputable concernant le retard dans la nouvelle couverture accidents du café- restaurant, ce retard étant dû aux manquements de l'intimé dans la transmission des documents utiles. L'intimé n'avait par ailleurs pas entrepris tout ce qui pouvait être attendu de lui en vue de supprimer ou de diminuer son dommage, en</w:t>
      </w:r>
    </w:p>
    <w:p>
      <w:r>
        <w:t>- 11/15 -</w:t>
      </w:r>
    </w:p>
    <w:p>
      <w:r>
        <w:t>C/19094/2022 informant par exemple le précédent assureur-accident du café-restaurant de son accident, ou en faisant valoir ses prétentions auprès de la caisse supplétive de l'assurance-accidents.</w:t>
      </w:r>
    </w:p>
    <w:p>
      <w:r>
        <w:rPr>
          <w:b/>
        </w:rPr>
        <w:t>E. 3.1.1</w:t>
      </w:r>
    </w:p>
    <w:p>
      <w:r>
        <w:t>Selon l'art. 22 al. 1 CCNT 2017, si le collaborateur est empêché de travailler sans qu'il y ait faute de sa part, notamment suite à un accident, il y a lieu d'appliquer les dispositions des art. 23 ss. Le collaborateur peut exiger à tout moment des renseignements sur les primes d'assurance correspondantes. L'employeur assure le collaborateur conformément aux prescriptions de la loi fédérale sur l'assurance-accidents (art. 25 al. 1 CCNT 17). L'employeur, qui conclut une assurance insuffisante, supporte les conséquences prévues dans la législation en matière d'assurance-accidents (art. 25 al. 5 CCNT 17).</w:t>
      </w:r>
    </w:p>
    <w:p>
      <w:r>
        <w:rPr>
          <w:b/>
        </w:rPr>
        <w:t>E. 3.1.2</w:t>
      </w:r>
    </w:p>
    <w:p>
      <w:r>
        <w:t>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124 III 126 consid. 2a; arrêt du Tribunal fédéral 4A_228/2017 du 23 mars 2018 consid. 2). La responsabilité fondée sur l'art. 97 al. 1 CO est soumise à quatre conditions : la violation du contrat, un dommage, un lien de causalité (naturelle et adéquate) entre ces deux éléments, et une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 129 III 18 consid. 2.6). En revanche, il incombe au débiteur, dont la faute est présumée, de prouver la quatrième condition, à savoir qu'aucune faute ne lui est imputable (arrêt du Tribunal fédéral 4A_119/2018 du 7 janvier 2019 consid. 5.2).</w:t>
      </w:r>
    </w:p>
    <w:p>
      <w:r>
        <w:rPr>
          <w:b/>
        </w:rPr>
        <w:t>E. 3.1.3</w:t>
      </w:r>
    </w:p>
    <w:p>
      <w:r>
        <w:t>Selon l'art. 44 al. 1 CO, applicable par renvoi de l'art.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w:t>
      </w:r>
    </w:p>
    <w:p>
      <w:r>
        <w:t>- 12/15 -</w:t>
      </w:r>
    </w:p>
    <w:p>
      <w:r>
        <w:t>C/19094/2022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du Tribunal fédéral 6B_54/2021 du 26 septembre 2022 consid. 3.1 et les références citées; 6B_1280/2019 du 5 février 2020 consid. 5.1).</w:t>
      </w:r>
    </w:p>
    <w:p>
      <w:r>
        <w:rPr>
          <w:b/>
        </w:rPr>
        <w:t>E. 3.1.4</w:t>
      </w:r>
    </w:p>
    <w:p>
      <w:r>
        <w:t>Aux termes de l'art. 3 al. 2 LAA, l'assurance cesse de produire ses effets à la fin du 31e jour qui suit le jour où prend fin le droit au demi-salaire au moins. La caisse supplétive attribue à un assureur les employeurs qui, malgré sommation, n'ont pas assuré leurs travailleurs ou qui n'ont pas trouvé de nouvel assureur (art. 73 al. 2 LAA). En cas d'accident non professionnel, il incombe à l'assureur auprès duquel la victime de l'accident était aussi assurée en dernier lieu contre les accidents professionnels, d'allouer les prestations (art. 77 al. 2 LAA).</w:t>
      </w:r>
    </w:p>
    <w:p>
      <w:r>
        <w:rPr>
          <w:b/>
        </w:rPr>
        <w:t>E. 3.2</w:t>
      </w:r>
    </w:p>
    <w:p>
      <w:r>
        <w:t>En l'espèce, il sera tout d'abord rappelé que l'objet du litige porte ici sur la responsabilité contractuelle de l'appelant dans la mesure où celui-ci n'avait pas assuré ses employés pour le risque accident au moment de sa reprise de gérance. Il n'appartient dès lors pas à la Cour de déterminer quelle(s) autre(s) assurance(s) auraient pu prendre en charge les conséquences financières de l'accident de l'intimé, cette question relevant par ailleurs du contentieux de droit public. Il n'est pas contesté que l'appelant a souscrit à une nouvelle police assurance- accidents pour les employés du café-restaurant à compter du 1er septembre 2022, et que son assureur a refusé de prendre en charge les frais découlant de l'accident de l'intimé du fait qu'il était antérieur au début de l'assurance.</w:t>
      </w:r>
    </w:p>
    <w:p>
      <w:r>
        <w:t>L'appelant se méprend ainsi lorsqu'il estime qu'aucune faute ne lui était imputable quant à l'absence de couverture accidents du café-restaurant lors de sa reprise de gérance. Il lui appartenait en effet d'assurer ses employés dès cette date, conformément aux dispositions de la CCNT 17, ce qu'il n'a pas fait. Il ressort en effet du témoignage de M______ et des pièces produites que les démarches en ce sens n'ont été effectuées qu'au mois d'août 2022, soit un mois après la reprise de la gérance du café-restaurant par l'appelant. Il doit dès lors supporter les conséquences qui en découlent.</w:t>
      </w:r>
    </w:p>
    <w:p>
      <w:r>
        <w:t>En outre, contrairement à ce que soutient l'appelant, aucune faute concomitante ne peut être reprochée à l'intimé. S'il est vrai que celui-ci n'a pas immédiatement transmis les documents requis par l'appelant – au mois d'août 2022 seulement – il ne lui appartenait quoi qu'il en soit pas de le faire comme l'a retenu à juste titre le</w:t>
      </w:r>
    </w:p>
    <w:p>
      <w:r>
        <w:t>- 13/15 -</w:t>
      </w:r>
    </w:p>
    <w:p>
      <w:r>
        <w:t>C/19094/2022 Tribunal, dans la mesure où il n'était qu'employé du café-restaurant, et non pas son précédent gérant. Par ailleurs, l'intimé ne pouvait ignorer, de bonne foi, et faute d'information en ce sens de la part de l'appelant, que ce dernier n'avait pas respecté ses obligations en ne souscrivant pas, dès sa reprise de gérance, à une assurance-accident. Il ne peut dès lors être reproché à l'intimé de ne pas avoir annoncé son accident au précèdent assureur du café-restaurant. La même analyse doit être effectuée concernant la caisse supplétive de l'assurance-accidents, dont on rappellera à l'appelant qu'il n'a lui-même pas sollicité son intervention, quand bien même il avait failli à assurer ses employés.</w:t>
      </w:r>
    </w:p>
    <w:p>
      <w:r>
        <w:t>Au regard de ce qui précède, c'est donc à bon droit que le Tribunal a condamné l'appelant, sur la base de sa responsabilité contractuelle, au paiement des frais médicaux résultant de l'accident de l'intimé, soit 9'081 fr. 50.</w:t>
      </w:r>
    </w:p>
    <w:p>
      <w:r>
        <w:rPr>
          <w:b/>
        </w:rPr>
        <w:t>E. 4</w:t>
      </w:r>
    </w:p>
    <w:p>
      <w:r>
        <w:t>Reste à déterminer le dies a quo des intérêts moratoires, contesté par l'appelant, qui soutient que ceux-ci ne doivent courir qu'à compter du 6 avril 2023.</w:t>
      </w:r>
    </w:p>
    <w:p>
      <w:r>
        <w:rPr>
          <w:b/>
        </w:rPr>
        <w:t>E. 4.1</w:t>
      </w:r>
    </w:p>
    <w:p>
      <w:r>
        <w:t>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 Une facture est d'abord une information donnée au débiteur quant au montant de sa dette. Elle ne vaut donc interpellation que si elle indique au débiteur que le créancier attend un paiement immédiat, que ce soit par une mention expresse telle que "payable immédiatement" ou en indiquant que le créancier porte en compte un intérêts moratoire ou engagera une poursuite (THEVENOZ, Commentaire romand, Code des obligations, 3ème éd., n. 24 ad art. 102 CO). Une interpellation n'est pas nécessaire lorsque les parties sont convenues d'un terme (Verfalltag), dit aussi terme comminatoire, de sorte que le débiteur sait d'emblée quand exactement ou jusqu'à quand il doit s'exécuter (THEVENOZ, op. cit., n. 26 ad art. 102 CO).</w:t>
      </w:r>
    </w:p>
    <w:p>
      <w:r>
        <w:rPr>
          <w:b/>
        </w:rPr>
        <w:t>E. 4.2</w:t>
      </w:r>
    </w:p>
    <w:p>
      <w:r>
        <w:t>En l'espèce, c'est à tort que le Tribunal a arrêté au 13 septembre 2022, correspondant à la date de la fin des rapports de travail entre les parties, le dies a quo des intérêts moratoires. En effet, et comme le relève à juste titre l'appelant, ce n'est qu'à compter du 6 avril 2023 que la facture du 6 mars 2023 des HUG est devenue exigible, le délai de paiement mentionné sur la facture arrivant à échéance le 5 avril 2023. Dès lors, le dies a quo des intérêts moratoires doit être fixé au 6 avril 2023. Partant, le chiffre 6 du jugement attaqué sera annulé, en ce sens que les intérêts moratoires au taux de 5% l'an sont dus à l'intimé à compter du 6 avril 2023.</w:t>
      </w:r>
    </w:p>
    <w:p>
      <w:r>
        <w:t>- 14/15 -</w:t>
      </w:r>
    </w:p>
    <w:p>
      <w:r>
        <w:t>C/19094/2022</w:t>
      </w:r>
    </w:p>
    <w:p>
      <w:r>
        <w:rPr>
          <w:b/>
        </w:rPr>
        <w:t>E. 5</w:t>
      </w:r>
    </w:p>
    <w:p>
      <w:r>
        <w:t>Au regard de ce qui précède, l'appel est partiellement admis. Le chiffre 6 du dispositif du jugement entrepris sera annulé et l'appelant condamné à payer à l'intimé la somme de 9'081 fr. 50, plus intérêts à 5% l'an dès le 6 avril 2023.</w:t>
      </w:r>
    </w:p>
    <w:p>
      <w:r>
        <w:rPr>
          <w:b/>
        </w:rPr>
        <w:t>E. 6</w:t>
      </w:r>
    </w:p>
    <w:p>
      <w:r>
        <w:t>La valeur litigieuse étant inférieure à 50'000 fr., il ne sera pas prélevé de frais judiciaires, ni alloué de dépens (art. 71 RTFMC et 22 al. 2 LaCC). * * * * *</w:t>
      </w:r>
    </w:p>
    <w:p>
      <w:r>
        <w:t>- 15/15 -</w:t>
      </w:r>
    </w:p>
    <w:p>
      <w:r>
        <w:t>C/19094/2022 PAR CES MOTIFS, La Chambre des prud'hommes : A la forme : Déclare recevable l'appel interjeté le 18 novembre 2024 par A______ contre le jugement JTPH/275/2024 rendu le 16 octobre 2024 par le Tribunal de première instance dans la cause C/19094/2022. Au fond : Annule le chiffre 6 du dispositif du jugement attaqué et, statuant à nouveau sur ce point : Condamne A______ à verser à B______ la somme nette de 9'081 fr. 50 avec intérêts moratoires au taux de 5% l'an dès le 6 avril 2023. Dit qu'il n'est pas perçu de frais judiciaires, ni alloué de dépens d'appel. Confirme le jugement entrepris pour le surplus. Déboute A______ de toutes autres ou contraires conclusions. Siégeant : Monsieur Cédric-Laurent MICHEL, président; Monsieur Roger EMMENEGGER, Madame Fiona MAC PHAIL, juges assesseurs; Madame Fabia CURTI,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