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ACJC/774/2018 vom 6. Juli 2018</w:t>
      </w:r>
    </w:p>
    <w:p>
      <w:r>
        <w:t>GE Cour de justice, 2018-07-06, FR</w:t>
      </w:r>
    </w:p>
    <w:p>
      <w:r>
        <w:rPr>
          <w:b/>
        </w:rPr>
        <w:t xml:space="preserve">Quelle: </w:t>
      </w:r>
      <w:r>
        <w:t>https://mcp.opencaselaw.ch/entscheid/ge_gerichte_ACJC_774_2018</w:t>
      </w:r>
    </w:p>
    <w:p>
      <w:r>
        <w:t>FR: GE_GERICHTE ACJC/774/2018 du 6 juillet 2018</w:t>
      </w:r>
    </w:p>
    <w:p>
      <w:r>
        <w:t>IT: GE_GERICHTE ACJC/774/2018 del 6 luglio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Si le dernier jour est un samedi, un dimanche ou un jour férié, le délai expire le premier jour ouvrable qui suit (art. 142 al. 3 CPC).</w:t>
      </w:r>
    </w:p>
    <w:p>
      <w:r>
        <w:rPr>
          <w:b/>
        </w:rPr>
        <w:t>E. 1.2</w:t>
      </w:r>
    </w:p>
    <w:p>
      <w:r>
        <w:t>En l'espèce, l'appel a été introduit en temps utile et selon la forme prescrite par la loi (art. 311 al. 1 CPC). Le litige porte notamment sur la garde des enfants, soit sur une affaire non pécuniaire dans son ensemble, de sorte que la voie de l'appel est ouverte indépendamment de la valeur litigieuse (arrêt du Tribunal fédéral 5A_765/2012, du 19 février 2013 consid. 1.1). Contrairement à ce que semble soutenir l'intimé, la recevabilité de l'appel n'est par ailleurs pas dépendante de l'existence de faits nouveaux. L'appel est en l'espèce recevable.</w:t>
      </w:r>
    </w:p>
    <w:p>
      <w:r>
        <w:rPr>
          <w:b/>
        </w:rPr>
        <w:t>E. 2</w:t>
      </w:r>
    </w:p>
    <w:p>
      <w:r>
        <w:t>Les parties, qui sont de nationalité étrangère, sont domiciliées à Genève. Avec raison, elles ne remettent pas en cause la compétence de la Cour de justice pour connaître du litige (art. 46 et 79 al. 1 LDIP).</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w:t>
      </w:r>
    </w:p>
    <w:p>
      <w:r>
        <w:t>- 7/13 -</w:t>
      </w:r>
    </w:p>
    <w:p>
      <w:r>
        <w:t>C/18044/2017 celle de sécurité (ATF 127 III 474 consid. 2b/bb, in JdT 2002 I 352; arrêt du Tribunal fédéral 5A_392/2014 du 20 août 2014 consid. 1.5). S'agissant du sort des enfants mineurs, les maximes d'office et inquisitoire illimitée s'appliquent (art. 296 al. 3 CPC).</w:t>
      </w:r>
    </w:p>
    <w:p>
      <w:r>
        <w:t>Lorsque l'attribution du logement conjugal concerne également un(les) enfant(s) mineur(s) des parties, les maximes d'office et inquisitoire illimitée s'appliquent à cette question (cf. par ex. l'arrêt du Tribunal fédéral 5A_930/2012 du 16 mai 2013 consid. 3.3.3. et 3.3.4).</w:t>
      </w:r>
    </w:p>
    <w:p>
      <w:r>
        <w:rPr>
          <w:b/>
        </w:rPr>
        <w:t>E. 4</w:t>
      </w:r>
    </w:p>
    <w:p>
      <w:r>
        <w:t>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4.2</w:t>
      </w:r>
    </w:p>
    <w:p>
      <w:r>
        <w:t>En l'espèce, l'ensemble des pièces nouvelles produites par l'appelante et l'intimé ainsi que les faits s'y rapportant sont recevables, dans la mesure où elles portent sur la situation personnelle ou financière des parties et sont susceptibles d'influer sur le sort de leurs enfants mineurs.</w:t>
      </w:r>
    </w:p>
    <w:p>
      <w:r>
        <w:rPr>
          <w:b/>
        </w:rPr>
        <w:t>E. 5</w:t>
      </w:r>
    </w:p>
    <w:p>
      <w:r>
        <w:t>L'appelante a conclu, pour la première fois en appel, à l'attribution du logement conjugal sans limite dans le temps, jusqu'à ce qu'elle trouve un nouveau logement, à l'attribution en sa faveur de la garde exclusive des enfants et à ce qu'il soit fait interdiction à l'intimé de pénétrer dans l'appartement conjugal.</w:t>
      </w:r>
    </w:p>
    <w:p>
      <w:r>
        <w:rPr>
          <w:b/>
        </w:rPr>
        <w:t>E. 5.1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(ACJC/592/2017 du 19 mai 2017 consid. 4; ACJC/1681/2016 du 15 décembre 2016 consid. 3.1; SCHWEIGHAUSER, Kommentar zur Schweizerischen Zivilprozessordnung, 3ème éd., 2016, n. 3 ad art. 296 CPC; JEANDIN, in CPC,</w:t>
      </w:r>
    </w:p>
    <w:p>
      <w:r>
        <w:t>- 8/13 -</w:t>
      </w:r>
    </w:p>
    <w:p>
      <w:r>
        <w:t>C/18044/2017 Code de procédure civile commenté, 2011, n. 18 ad art. 296 CPC; HOHL, Procédure civile, tome II, 2010, n. 2091 et 2392).</w:t>
      </w:r>
    </w:p>
    <w:p>
      <w:r>
        <w:rPr>
          <w:b/>
        </w:rPr>
        <w:t>E. 5.2</w:t>
      </w:r>
    </w:p>
    <w:p>
      <w:r>
        <w:t>En l'espèce, les conclusions relatives à la garde des enfants et à l'attribution du logement conjugal sont soumises à la maxime d'office. Les conclusions nouvelles y relatives sont par conséquent recevables. La recevabilité de la conclusion portant sur la mesure d'éloignement du domicile conjugal peut demeurer indécise pour les raisons qui seront exposées sous chiffre</w:t>
      </w:r>
    </w:p>
    <w:p>
      <w:r>
        <w:rPr>
          <w:b/>
        </w:rPr>
        <w:t>E. 9</w:t>
      </w:r>
    </w:p>
    <w:p>
      <w:r>
        <w:t>L'appelante sollicite qu'il soit fait interdiction à l'intimé de pénétrer dans le domicile conjugal.</w:t>
      </w:r>
    </w:p>
    <w:p>
      <w:r>
        <w:rPr>
          <w:b/>
        </w:rPr>
        <w:t>E. 9.1</w:t>
      </w:r>
    </w:p>
    <w:p>
      <w:r>
        <w:t>Selon l'art. 172 al. 3 CC, le juge, au besoin, prend, à la requête d'un époux, les mesures prévues par la loi ; la disposition relative à la protection de la</w:t>
      </w:r>
    </w:p>
    <w:p>
      <w:r>
        <w:t>- 11/13 -</w:t>
      </w:r>
    </w:p>
    <w:p>
      <w:r>
        <w:t>C/18044/2017 personnalité en cas de violence, de menaces et de harcèlement est applicable par analogie. A cet égard,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w:t>
      </w:r>
    </w:p>
    <w:p>
      <w:r>
        <w:rPr>
          <w:b/>
        </w:rPr>
        <w:t>E. 9.2</w:t>
      </w:r>
    </w:p>
    <w:p>
      <w:r>
        <w:t>En l'espèce, le Ministère public, dans son ordonnance 28 mars 2018, a fait interdiction à l'intimé de prendre contact, sous quelque forme que ce soit, avec son épouse et sa belle-fille et ce jusqu'à décision contraire du procureur. En l'état, l'intimé n'est par conséquent pas autorisé à retourner au domicile conjugal. La cause étant renvoyée au Tribunal pour suite d'instruction et nouvelle décision, il appartiendra à l'appelante, si elle s'estime fondée à le faire, de solliciter le prononcé d'une mesure d'éloignement devant le juge de première instance. L'appelante sera par conséquent déboutée de ses conclusions sur ce point.</w:t>
      </w:r>
    </w:p>
    <w:p>
      <w:r>
        <w:rPr>
          <w:b/>
        </w:rPr>
        <w:t>E. 10</w:t>
      </w:r>
    </w:p>
    <w:p>
      <w:r>
        <w:t>Les frais judiciaires d'appel seront fixés à 800 fr. (art. 31 et 37 du Règlement du 22 décembre 2010 fixant le tarif des frais en matière civile, [RTFMC - E 1 05.10]) et mis à la charge des parties pour moitié chacune, compte tenu de l'issue de la procédure et de la nature du litige (art. 95 et 107 al. 1 let. c CPC). La part de 400 fr. mise à la charge de l'appelante sera compensée avec l'avance de frais versée, qui reste acquise à l'Etat à due concurrence (art. 111 al. 1 CPC). Le solde en 400 fr. sera restitué à l'appelante. La part de 400 fr. mise à la charge de l'intimé sera provisoirement supportée par l'Etat de Genève, compte tenu du bénéfice de l'assistance judiciaire. Chacune des parties assumera ses propres dépens d'appel (art. 107 al. 1 let. c CPC). * * * * *</w:t>
      </w:r>
    </w:p>
    <w:p>
      <w:r>
        <w:t>- 12/13 -</w:t>
      </w:r>
    </w:p>
    <w:p>
      <w:r>
        <w:t>C/18044/2017 PAR CES MOTIFS, La Chambre civile : A la forme : Déclare recevable l'appel interjeté par A______ contre le jugement JTPI/16977/2017 rendu le 21 décembre 2017 par le Tribunal de première instance dans la cause C/18044/2017-22. Au fond : Annule les chiffres 2 à 16 du dispositif du jugement attaqué et cela fait : Renvoie la cause au Tribunal de première instance pour suite d'instruction et nouvelle décision dans le sens des considérants. Déboute les parties de toutes autres conclusions. Sur les frais : Arrête les frais de la procédure d'appel à 800 fr. Les met à la charge de A______ à concurrence de 400 fr. et les compense avec l'avance de frais versée, qui reste acquise à l'Etat de Genève à due concurrence. Les met à la charge de B______ à concurrence de 400 fr. et dit que ce montant sera provisoirement supporté par l'Etat de Genève, compte tenu du bénéfice de l'assistance judiciaire. Ordonne aux Services financiers du Pouvoir judiciaire de restituer la somme de 400 fr. à A______.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- 13/13 -</w:t>
      </w:r>
    </w:p>
    <w:p>
      <w:r>
        <w:t>C/18044/2017</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