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ACJC/76/2022 vom 26. Januar 2022</w:t>
      </w:r>
    </w:p>
    <w:p>
      <w:r>
        <w:t>GE Cour de justice, 2022-01-26, FR</w:t>
      </w:r>
    </w:p>
    <w:p>
      <w:r>
        <w:rPr>
          <w:b/>
        </w:rPr>
        <w:t xml:space="preserve">Quelle: </w:t>
      </w:r>
      <w:r>
        <w:t>https://mcp.opencaselaw.ch/entscheid/ge_gerichte_ACJC_76_2022</w:t>
      </w:r>
    </w:p>
    <w:p>
      <w:r>
        <w:t>FR: GE_GERICHTE ACJC/76/2022 du 26 janvier 2022</w:t>
      </w:r>
    </w:p>
    <w:p>
      <w:r>
        <w:t>IT: GE_GERICHTE ACJC/76/2022 del 26 gennaio 2022</w:t>
      </w:r>
    </w:p>
    <w:p>
      <w:pPr>
        <w:pStyle w:val="Heading2"/>
      </w:pPr>
      <w:r>
        <w:t>Erwägungen</w:t>
      </w:r>
    </w:p>
    <w:p>
      <w:r>
        <w:rPr>
          <w:b/>
        </w:rPr>
        <w:t>E. 1.1</w:t>
      </w:r>
    </w:p>
    <w:p>
      <w:r>
        <w:t>L'appel est recevable contre les décisions de première instance rendues sur mesures provisionnelles (art. 308 al. 1 let. b CPC), lorsque, dans les affaires patrimoniales, la valeur litigieuse, au dernier état des conclusions de première instance, est supérieure à 10'000 fr. (art. 308 al. 2 CPC), ce qui est le cas en l'espèce vu la valeur du capital-actions litigieux.</w:t>
      </w:r>
    </w:p>
    <w:p>
      <w:r>
        <w:t>Interjeté dans le délai utile de dix jours (art. 311 al. 3 CPC) et suivant la forme prescrite par la loi (art. 130, 131, 311 al. 1 CPC), l'appel est recevable.</w:t>
      </w:r>
    </w:p>
    <w:p>
      <w:r>
        <w:rPr>
          <w:b/>
        </w:rPr>
        <w:t>E. 1.2</w:t>
      </w:r>
    </w:p>
    <w:p>
      <w:r>
        <w:t>Les parties produisent diverses pièces devant la Cour.</w:t>
      </w:r>
    </w:p>
    <w:p>
      <w:r>
        <w:rPr>
          <w:b/>
        </w:rPr>
        <w:t>E. 1.2.1</w:t>
      </w:r>
    </w:p>
    <w:p>
      <w:r>
        <w:t>Selon l'art. 317 al. 1 CPC, les faits et les moyens de preuve nouveaux ne sont pris en considération en appel que s'ils sont invoqués ou produits sans retard (let. a) et avec la diligence requise (let. b).</w:t>
      </w:r>
    </w:p>
    <w:p>
      <w:r>
        <w:rPr>
          <w:b/>
        </w:rPr>
        <w:t>E. 1.2.2</w:t>
      </w:r>
    </w:p>
    <w:p>
      <w:r>
        <w:t>En l'espèce, les parties produisent des chargés complémentaires contenant des pièces antérieures et postérieures à la date à laquelle le Tribunal a gardé la cause à juger.</w:t>
      </w:r>
    </w:p>
    <w:p>
      <w:r>
        <w:t>En tant que l'essentiel des pièces antérieures à la mise en délibération de la cause par le premier juge figure déjà au dossier de première instance, celles-ci ne sont pas nouvelles. Pour le surplus, les parties expliquent les avoir produites dès qu'elles en ont eu connaissance, étant précisé qu'elles n'étaient pas destinataires des pièces invoquées et qu'elles ont appris leur existence dans le cadre d'autres</w:t>
      </w:r>
    </w:p>
    <w:p>
      <w:r>
        <w:t>- 11/22 -</w:t>
      </w:r>
    </w:p>
    <w:p>
      <w:r>
        <w:t>C/2216/2021 procédures connexes, ce qui n'est pas contesté par leur partie adverse. Partant, et dans la mesure où les parties ne remettent pas en cause leur recevabilité, ces pièces seront déclarées recevables.</w:t>
      </w:r>
    </w:p>
    <w:p>
      <w:r>
        <w:t>Quant aux pièces postérieures à la mise en délibération de la cause par le premier juge, elles ont été produites sans retard à l'appui des différentes écritures soumises à la Cour et sont, par conséquent, également recevables.</w:t>
      </w:r>
    </w:p>
    <w:p>
      <w:r>
        <w:t>Cela étant, les pièces produites par les parties ne sont pas déterminantes dès lors que les pièces déjà versées à la procédure sont suffisantes pour statuer, sous l'angle de la vraisemblance vu l'application de la procédure sommaire (art. 248 let. d CPC), sur le sort du litige.</w:t>
      </w:r>
    </w:p>
    <w:p>
      <w:r>
        <w:rPr>
          <w:b/>
        </w:rPr>
        <w:t>E. 1.3</w:t>
      </w:r>
    </w:p>
    <w:p>
      <w:r>
        <w:t>La Cour revoit la cause avec un plein pouvoir d'examen (art. 310 CPC), dans la limite des griefs soumis à sa cognition par les parties (ATF 137 III 617 consid. 4.5.3 et 5.2).</w:t>
      </w:r>
    </w:p>
    <w:p>
      <w:r>
        <w:rPr>
          <w:b/>
        </w:rPr>
        <w:t>E. 2</w:t>
      </w:r>
    </w:p>
    <w:p>
      <w:r>
        <w:t>A titre préalable, l'appelante conclut à la jonction de la procédure portant sur le mémoire préventif (C/1979/2021) à la présente cause.</w:t>
      </w:r>
    </w:p>
    <w:p>
      <w:r>
        <w:rPr>
          <w:b/>
        </w:rPr>
        <w:t>E. 2.1</w:t>
      </w:r>
    </w:p>
    <w:p>
      <w:r>
        <w:t>Pour simplifier le procès, le tribunal, [respectivement la Cour] peut notamment ordonner la jonction de causes (art. 125 let. c CPC). Le juge a toute latitude, sans y être obligé et sous réserve d'un abus du pouvoir d'appréciation, pour prendre d'office ou sur requête les décisions destinées à simplifier le procès (HALDY, in Commentaire romand, Code de procédure civile, 2ème éd., 2019, n. 4 ad art. 125 CPC).</w:t>
      </w:r>
    </w:p>
    <w:p>
      <w:r>
        <w:rPr>
          <w:b/>
        </w:rPr>
        <w:t>E. 2.2</w:t>
      </w:r>
    </w:p>
    <w:p>
      <w:r>
        <w:t>En l'espèce, l'appelante a déposé par-devant le Tribunal un mémoire préventif en lien avec l'actionnariat de A______ SA ainsi que les mutations concernant cette société au Registre du commerce, enregistré sous le numéro de cause C/1979/2021. Il convient d'ordonner la jonction de cette procédure à la présente cause, dans la mesure où elle oppose les mêmes parties et a pour objet le même complexe de faits.</w:t>
      </w:r>
    </w:p>
    <w:p>
      <w:r>
        <w:t>Il n'y a toutefois pas lieu de notifier à nouveau le mémoire préventif à l'intimé, puisque cette écriture lui a déjà été expédiée par le greffe du Tribunal le 9 février 2021 (art. 270 al. 2 CPC), qu'il en a ainsi eu connaissance et pu se déterminer en conséquence dans ses écritures déposées, subséquemment, par-devant le Tribunal et la Cour de céans.</w:t>
      </w:r>
    </w:p>
    <w:p>
      <w:r>
        <w:t>La jonction des procédures sera ainsi ordonnée à titre préalable.</w:t>
      </w:r>
    </w:p>
    <w:p>
      <w:r>
        <w:rPr>
          <w:b/>
        </w:rPr>
        <w:t>E. 3</w:t>
      </w:r>
    </w:p>
    <w:p>
      <w:r>
        <w:t>Le litige porte sur l'actionnariat de A______ SA, plus particulièrement sur les conditions relatives au transfert de propriété de son capital-actions.</w:t>
      </w:r>
    </w:p>
    <w:p>
      <w:r>
        <w:t>- 12/22 -</w:t>
      </w:r>
    </w:p>
    <w:p>
      <w:r>
        <w:t>C/2216/2021 L'appelante soutient que la titularité des actions de A______ SA a été acquise par la société F______ SA en exécution du contrat de vente et d'achat d'actions du</w:t>
      </w:r>
    </w:p>
    <w:p>
      <w:r>
        <w:rPr>
          <w:b/>
        </w:rPr>
        <w:t>E. 3.1</w:t>
      </w:r>
    </w:p>
    <w:p>
      <w:r>
        <w:t>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w:t>
      </w:r>
    </w:p>
    <w:p>
      <w:r>
        <w:t>Le tribunal peut ordonner toute mesure provisionnelle propre à prévenir ou à faire cesser le préjudice, notamment un ordre donné à une autorité qui tient un registre (art. 262 let. c CPC). Le requérant doit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in Commentaire romand, Code de procédure civile, 2ème éd. 2019, n. 7 ad art. 261). Doit également être rendu vraisemblable l'existence d'un préjudice difficilement réparable, qui peut être de nature patrimoniale ou immatérielle (Message relatif au CPC, FF 2006 p. 6961; BOHNET, op. cit., n. 11 ad art. 261 CPC; HUBER, in Kommentar zur Schweizerischen Zivilprozessordnung, 3ème éd. 2016, n. 23 ad art. 261 CPC.,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(arrêts du Tribunal fédéral 4A_50/2019 du 28 mai 2019 consid. 6.6.2; 4A_611/2011 du 3 janvier 2012 consid. 4.1).</w:t>
      </w:r>
    </w:p>
    <w:p>
      <w:r>
        <w:t>Rendre vraisemblable signifie qu'il n'est pas nécessaire que le juge soit convaincu de l'exactitude de l'allégué présenté; il suffit que, sur la base d'éléments objectifs, le juge acquière l'impression que les faits invoqués se sont produits, sans pour autant devoir exclure la possibilité qu'ils aient pu se dérouler autrement (ATF 139 III 86 consid. 4.2; 132 III 715 consid. 3.1; 130 III 321 consid. 3.3). Le juge peut en outre se limiter à un examen sommaire des questions de droit (ATF 139 III 86 consid. 4.2; 131 III 473 consid. 2.3; 127 III 474 consid. 2b/bb; arêt du tribunal fédéral 5A_293/2019 du 29 août 2019 consid. 4.2).</w:t>
      </w:r>
    </w:p>
    <w:p>
      <w:r>
        <w:t>- 13/22 -</w:t>
      </w:r>
    </w:p>
    <w:p>
      <w:r>
        <w:t>C/2216/2021</w:t>
      </w:r>
    </w:p>
    <w:p>
      <w:r>
        <w:rPr>
          <w:b/>
        </w:rPr>
        <w:t>E. 3.1.1</w:t>
      </w:r>
    </w:p>
    <w:p>
      <w:r>
        <w:t>A teneur de la loi fédérale sur l'acquisition d'immeubles par des personnes à l'étranger (LFAIE; RS 211.412.41), l'acquisition d'immeubles par des personnes à l'étranger est subordonnée à une autorisation de l'autorité cantonale compétente (art. 2 al. 1 et 5 LFAIE et art. 2 OFAIE).</w:t>
      </w:r>
    </w:p>
    <w:p>
      <w:r>
        <w:t>Par personne à l'étranger, on entend notamment les ressortissants des Etats membres de la Communauté européenne ou de l’Association européenne de libre- échange qui ne sont pas domiciliés en Suisse et les ressortissants des autres Etats étrangers qui n’ont pas le droit de s’établir en Suisse (art. 5 al. 1 let. a et a bis LFAIE et art. 2 OFAIE).</w:t>
      </w:r>
    </w:p>
    <w:p>
      <w:r>
        <w:t>Conformément à l'art. 26 al. 1 LFAIE, les actes juridiques concernant une acquisition pour laquelle l'intéressé doit être au bénéfice d'une autorisation restent sans effets en l'absence d'autorisation passée en force. Ils sont notamment nuls lorsque l'acquéreur exécute l'acte juridique sans demander une autorisation ou avant que celle-ci ne passe en force (al. 2 let. a). L'inefficacité et la nullité sont prises en considération d'office (al. 3). Les prestations promises ne sont dès lors pas exigibles et les prestations fournies peuvent être répétées dans le délai d'une année dès la connaissance du droit de répétition ou, en cas de procédure pénale, dès la clôture de cette procédure (art. 26 al. 4 let. a et b LFAIE).</w:t>
      </w:r>
    </w:p>
    <w:p>
      <w:r>
        <w:t>S'agissant en particulier d'un contrat d'achat d'actions, son exécution reste sans effet tant que l'autorisation de l'autorité cantonale compétente n'est pas passée en force. La vente devient cependant nulle et non avenue si les parties transfèrent les actions sans avoir obtenu au préalable l'autorisation nécessaire ou sans attendre que celle-ci soit passée en force ou encore si l'autorisation est refusée ou révoquée (WALTER, Die vetragliche Allokation rechtlicher Vollzugsrisiken bei privaten Aktienkäufen, 2019, in Law &amp; Management Wissenschaft, Bd 3, p. 155).</w:t>
      </w:r>
    </w:p>
    <w:p>
      <w:r>
        <w:rPr>
          <w:b/>
        </w:rPr>
        <w:t>E. 3.1.2</w:t>
      </w:r>
    </w:p>
    <w:p>
      <w:r>
        <w:t>Le contrat n’oblige pas celle des parties qui, au moment de le conclure, était dans une erreur essentielle (art. 23 CO) ou victime d'un dol (art. 28 CO). L’erreur est essentielle, notamment, lorsque la partie avait en vue une autre chose que celle qui a fait l’objet du contrat, ou une autre personne et qu’elle s’est engagée principalement en considération de cette personne ou encore lorsque l'erreur porte sur des faits que la loyauté commerciale permettait à celui qui se prévaut de son erreur de considérer comme des éléments nécessaires du contrat, (art. 24 al. 1 ch. 2 CO). La partie induite à contracter par le dol de l'autre n'est pas non plus obligée, même si son erreur n'est pas essentielle (art. 28 al. 1 CO). Le dol est une tromperie intentionnelle qui détermine la dupe, dans l'erreur, à accomplir un acte juridique; le dol éventuel suffit (ATF 136 III 528 consid. 3.4.2). La tromperie peut résulter de l'affirmation de faits faux ou de la dissimulation de faits vrais; l'auteur du dol cause alors l'erreur dans laquelle l'autre partie se trouve (dol par commission).</w:t>
      </w:r>
    </w:p>
    <w:p>
      <w:r>
        <w:t>- 14/22 -</w:t>
      </w:r>
    </w:p>
    <w:p>
      <w:r>
        <w:t>C/2216/2021 L'auteur peut également s'abstenir de détromper la victime déjà dans l'erreur, en gardant le silence sur un fait qu'il avait l'obligation de révéler d'après la loi, le contrat ou les règles de la bonne foi (dol par omission) (ATF 136 III 528 consid. 3.4.2; 132 II 161 consid. 4.1; arrêt du Tribunal fédéral 4A_62/2017 du 22 novembre 2017 consid. 2.1 et les références citées). Toute manœuvre créant chez le partenaire une fausse sécurité qui l'amène à décider de conclure le contrat est dolosive (SCHMIDLIN, in Commentaire romand CO I, 3ème éd., 2021, n. 5 et 7 ad art. 28 CO). La partie victime d'une erreur essentielle ou d'un dol doit déclarer invalider le contrat dans l'année qui suit la découverte de l'erreur ou du dol. A défaut, le contrat est réputé ratifié (art. 31 al. 1 et 2 CO). L'invalidation du contrat prive celui-ci de tout effet dès sa conclusion (ex tunc). Elle enlève au transfert de propriété sa cause et rétablit la propriété antérieure (SCHMIDLIN, op. cit., n. 21 à 23 ad art. 31 CO). Les prestations déjà exécutées doivent être restituées. En relation avec les transferts de propriété opérés, sont applicables les règles de la revendication et pour le reste, les règles de l'enrichissement illégitime (ATF 137 III 243 consid. 4.4.3).</w:t>
      </w:r>
    </w:p>
    <w:p>
      <w:r>
        <w:rPr>
          <w:b/>
        </w:rPr>
        <w:t>E. 3.1.3</w:t>
      </w:r>
    </w:p>
    <w:p>
      <w:r>
        <w:t>En vertu de l'art. 684 CO, sauf disposition contraire de la loi ou des statuts, les actions nominatives sont librement transmissibles (al. 1). Selon l'art. 967 CO, pour transférer la propriété d’un papier-valeur ou le grever de quelque autre droit réel, il faut dans tous les cas le transfert de possession du titre (al. 1). Il faut en plus pour les titres à ordre un endossement, et pour les titres nominatifs une déclaration écrite, qui ne sera pas nécessairement insérée sur le titre même (al. 2). La loi ou la convention peut prévoir, pour le transfert, la coopération d’autres personnes, en particulier du débiteur (al. 3). Les droits de l'endosseur sont, pour tous les papiers-valeurs transmissibles, transférés à l'acquéreur par l'endossement et la remise du titre, à moins que l'objet ou la nature de ce dernier ne fasse présumer qu'il en est autrement (art. 969 CO). Partant, lorsque les actions sont incorporées dans un papier-valeur à ordre leur transfert suppose un titre d'acquisition, la remise du titre ainsi que son endossement, lequel doit être apposé sur le titre même ou sur un document annexé (TRIGO TRINDADE, in Commentaire romand CO II, 2017, n. 21 ad art. 684 CO). L'endossement peut être complet, lorsque l'endosseur indique le nom, respectivement la raison sociale de l'endossaire (art. 1003 al. 1 CO), ou "en blanc", lorsque l'endossaire n'est pas désigné (art. 1003 al. 2 CO). Dans ce dernier cas, l'endossaire n'apparaît pas sur le titre (EIGENMANN, in Commentaire romand, CO II, 2ème éd., 2017, n. 10 ad art. 1003 CO)</w:t>
      </w:r>
    </w:p>
    <w:p>
      <w:r>
        <w:t>- 15/22 -</w:t>
      </w:r>
    </w:p>
    <w:p>
      <w:r>
        <w:t>C/2216/2021 Le transfert de la possession du titre est nécessaire pour le transfert du droit documenté. Tout mode de transfert de la possession (cf. art. 922 ss CC) est envisageable (BOHNET, in Commentaire romand CO II, 2017, n. 5 ad art 967 CO). Selon l'art. 922 al. 1 CC, la possession se transfère par la remise à l’acquéreur de la chose même ou des moyens qui la font passer en sa puissance. La possession peut également s'acquérir sans tradition, lorsqu'un tiers ou l'aliénateur lui-même demeure en possession de la chose à titre spécial. Ce transfert ne produit d'effets à l’égard du tiers resté en possession que dès le moment où l’aliénateur l’en a informé (art. 924 al. 1 et 2 CC). Un tel transfert suppose que l'aliénateur et l'acquéreur en soient convenus (ATF 112 II 444). Enfin, le transfert de la possession suppose un accord entre les parties fondé sur un acte juridique valable (ATF 55 II 302).</w:t>
      </w:r>
    </w:p>
    <w:p>
      <w:r>
        <w:rPr>
          <w:b/>
        </w:rPr>
        <w:t>E. 3.2</w:t>
      </w:r>
    </w:p>
    <w:p>
      <w:r>
        <w:t>En l'espèce, la question litigieuse est de savoir s'il est vraisemblable que F______ SA a valablement acquis le capital-actions de l'appelante, respectivement s'il est vraisemblable que les conditions liées au transfert de propriété desdites actions sont réalisées, ce qui suppose un titre d'acquisition valable, suivi d'une opération d'acquisition complète, à savoir un endossement des actions et leur transfert de possession, quel qu'en soit le mode.</w:t>
      </w:r>
    </w:p>
    <w:p>
      <w:r>
        <w:rPr>
          <w:b/>
        </w:rPr>
        <w:t>E. 3.2.1</w:t>
      </w:r>
    </w:p>
    <w:p>
      <w:r>
        <w:t>En premier lieu, le Tribunal a retenu que le contrat de vente et d'achat d'actions valant titre d'acquisition était affecté d'une erreur essentielle, voire d'un dol, en tant que l'intimé avait été induit en erreur sur l'assujettissement de sa cocontractante, G______, à la LFAIE, ce qui représentait un élément essentiel du contrat. Contrairement à ce que soutient l'appelante, le premier juge n'a pas examiné la validité du contrat de vente sous l'angle de la nullité prévue à l'art. 26 al. 2 LFAIE, mais au regard d'un vice de consentement. L'application de cette disposition peut, en l'état, rester indécise compte tenu des considérants qui suivent.</w:t>
      </w:r>
    </w:p>
    <w:p>
      <w:r>
        <w:t>Conformément à l'art. 7.3 du contrat de vente, G______ a déclaré et garanti qu'elle n'était pas soumise aux dispositions de la LFAIE. Il est toutefois rendu vraisemblable au vu de sa nationalité qu'elle était pourtant effectivement soumise à cette règlementation, ce qu'elle ne conteste du reste pas, de sorte qu'elle a induit l'intimé en erreur sur ce point. S'agissant d'une transaction portant sur la vente d'une société exploitant différents immeubles, l'assujettissement du cocontractant au régime d'autorisations prévues par la LFAIE constitue, selon toute vraisemblance, un élément essentiel, à tout le moins un élément causal à la conclusion de la transaction dans le cas présent, ce qui est suffisant en matière de dol. L'appelante ne peut être suivie lorsqu'elle prétend qu'il importait peu au final que G______ soit soumise à la LFAIE ou non puisqu'il n'était pas subjectivement essentiel pour l'intimé de conclure le contrat avec celle-ci personnellement vu la clause de substitution, mais plutôt avec une partie ayant la capacité d'acquérir</w:t>
      </w:r>
    </w:p>
    <w:p>
      <w:r>
        <w:t>- 16/22 -</w:t>
      </w:r>
    </w:p>
    <w:p>
      <w:r>
        <w:t>C/2216/2021 selon la LFAIE, quelle que soit son identité. Si la clause de substitution permettait certes à l'acquéreuse, soit G______, de transférer sa position à une entité tierce, elle n'exonérait vraisemblablement [toutefois] pas pour autant cette dernière, de remplir les conditions posées contractuellement et qu'elle a elle-même garanti satisfaire. Par ailleurs, selon les pièces figurant au dossier, G______ est systématiquement intervenue sous son nom de jeune fille et était représentée par un agent immobilier, n'entretenant ainsi aucun contact direct et personnel avec son cocontractant. Dans ces circonstances, l'intimé ne pouvait se douter qu'elle était l'épouse de C______, administrateur de F______ SA, et qu'elle entendait impliquer cette société. Aucun élément n'indique que l'intimé connaissait G______ ainsi que les liens qui l'unissaient à C______ et la société de celui-ci. On peine d'ailleurs à comprendre pour quelle raison elle est intervenue sous son nom de jeune fille, alors même qu'elle semble officiellement porter son nom d'épouse (G______), comme cela ressort du Registre du commerce (cf. extrait de F______ SA) et de l'ordonnance de classement rendue à son encontre et aucune explication n'est fournie à cet égard. Au vu de la relation antérieure des sociétés concernées et en particulier du fait que l'intimé avait déjà refusé à deux reprises de vendre le capital-actions de A______ SA à F______ SA, G______ ne pouvait garder le silence sur ses liens avec C______, respectivement F______ SA, selon les règles de la bonne foi et de la loyauté commerciale. Ce faisant, elle a induit son cocontractant en erreur en le maintenant dans une fausse représentation des faits qui l'a amené à conclure le contrat litigieux. Il apparaît vraisemblable que si l'intimé avait eu connaissance de cet état de fait, il n'aurait pas conclu la transaction puisqu'il avait déjà refusé de vendre à F______ SA à deux reprises et que, dès qu'il a découvert la réalité des faits il a déclaré invalider le contrat. Le fait que l'intimé ait fait relire le contrat de vente à ses avocats n'est d'aucun secours à l'appelante dans la mesure où l'erreur provoquée ne porte pas sur les termes du contrat en tant que tels, mais sur les garanties offertes par l'acquéreuse et sur son identité. C'est en vain que l'appelante tente encore de tirer argument d'un courrier daté du</w:t>
      </w:r>
    </w:p>
    <w:p>
      <w:r>
        <w:rPr>
          <w:b/>
        </w:rPr>
        <w:t>E. 3.2.2</w:t>
      </w:r>
    </w:p>
    <w:p>
      <w:r>
        <w:t>En deuxième lieu, l'appelante reproche au Tribunal d'avoir considéré que la condition liée au transfert de possession des actions n'était pas réalisée, faute de remise du certificat d'actions, resté en mains du tiers séquestre. Elle soutient qu'aux termes du contrat de vente et d'achat d'actions et du contrat de séquestre du 18 septembre 2020, les parties auraient conclu un contrat possessoire selon lequel le séquestre du certificat d'actions prendrait fin de facto le jour du paiement de l'éventuel solde du prix de vente par l'acquéreur et de l'acceptation du décompte par ce dernier et entrainerait par voie de conséquence le transfert de la possession des titres à l'acquéreur. Les parties auraient ainsi expressément convenu d'un transfert de possession au jour de l'exécution du contrat (intervenu, selon elle, le 6 janvier 2021), sans remise de titre. Aux termes du contrat de vente et d'achat d'actions, le certificat d'action original devait rester en mains du tiers séquestre jusqu'au jour du paiement par l'acheteur du solde du prix de vente net et de l'acceptation du décompte acheteur-vendeur (art. 4.5). Au jour de l'exécution de la vente, le tiers séquestre devait remettre le certificat d'actions, préalablement endossé par le vendeur, à l'acquéreur (art. 4.1). Contrairement à ce que soutient l'appelante, on ne saurait déduire de la documentation contractuelle, que ce soit le contrat de vente et d'achat d'actions du 8 septembre 2020 ou le contrat de séquestre du 18 septembre 2020 qui s'y réfère, que les parties avaient expressément convenu d'un transfert de possession sans remise du titre. Si le séquestre des actions devait certes prendre fin au jour de l'acceptation du décompte final et du paiement du solde du prix de vente, il n'est pas prévu que la levée du séquestre entraînerait automatiquement un transfert de possession, comme le prétend l'appelante. Il apparaît au contraire que le tiers séquestre devait encore accomplir un acte matériel consistant en la remise du certificat d'actions à l'acquéreur. Le tiers séquestre a d'ailleurs refusé de procéder à la remise du certificat, indiquant que les actions demeuraient "bloquées" en ses mains, ce qui tend à démontrer qu'aucun transfert de possession n'a eu lieu. On ne saurait en particulier y voir une possession pour le compte de l'acquéreur. Ainsi, le transfert de possession sans tradition tel que plaidé par l'appelante n'est pas rendu suffisamment vraisemblable, étant rappelé que la remise du titre constitue généralement la règle.</w:t>
      </w:r>
    </w:p>
    <w:p>
      <w:r>
        <w:t>- 18/22 -</w:t>
      </w:r>
    </w:p>
    <w:p>
      <w:r>
        <w:t>C/2216/2021 La décision entreprise ne prête dès lors pas le flanc à la critique sur ce point également.</w:t>
      </w:r>
    </w:p>
    <w:p>
      <w:r>
        <w:rPr>
          <w:b/>
        </w:rPr>
        <w:t>E. 3.2.3</w:t>
      </w:r>
    </w:p>
    <w:p>
      <w:r>
        <w:t>Enfin, il sied de relever que la validité de l'endossement en faveur de F______ SA paraît, elle aussi, douteuse. A cet égard, il ressort de la procédure que l'intimé, en sa qualité de vendeur, a endossé le certificat d'actions en septembre 2020 en faveur de G______, laquelle a à son tour endossé, au mois de janvier 2021, ledit certificat en faveur de F______ SA. Or, G______ s'était déjà désistée depuis deux mois du contrat de vente, sans avoir acquis la propriété des actions, faute notamment d'autorisation LFAIE, lorsqu'elle les a endossées en faveur de F______ SA. Il est dès lors peu probable qu'elle ait pu valablement endosser le certificat d'actions alors qu'elle n'a elle-même jamais acquis les droits incorporés dans le titre, étant relevé que seul un aliénateur ayant le pouvoir de disposer peut procéder à l'endossement. Par ailleurs, un examen prima facie du dossier ne permet pas de retenir que l'endossement apposé par l'intimé constituerait un endossement en blanc au sens de l'art. 1003 al. 2 CO, dont pourrait se prévaloir F______ SA. En effet, bien que l'emplacement "Acquéreur (Cessionnaire)" figurant sur le formulaire de transfert ne soit pas signé ou complété, l'intimé a clairement indiqué sous la mention "endossement" que le certificat d'actions était endossé en faveur de "G______", avec l'adresse personnelle de cette dernière. Dans la mesure où celle-ci est expressément désignée en tant qu'endossaire, il ne saurait a priori s'agir d'un endossement en blanc, qui suppose l'absence de désignation du bénéficiaire. S'il était déjà clair pour les parties que l'acquéreur final serait une société tierce, comme le soutient l'appelante, elles n'auraient vraisemblablement pas mentionné G______ en tant qu'endossaire.</w:t>
      </w:r>
    </w:p>
    <w:p>
      <w:r>
        <w:rPr>
          <w:b/>
        </w:rPr>
        <w:t>E. 3.3</w:t>
      </w:r>
    </w:p>
    <w:p>
      <w:r>
        <w:t>En définitive, le Tribunal était fondé à retenir, au stade des mesures provisionnelles, que le transfert de propriété des actions n'avait pas été valablement exécuté. Infondé, l'appel sera rejeté et le jugement entrepris confirmé. 4. L'appelante, qui succombe, sera condamnée aux frais d'appel (art. 106 al. 1 CPC). Il ne se justifie pas de mettre les frais à la charge personnelle de C______, dans la mesure où il n'est pas personnellement partie à la procédure et qu'on ne saurait lui imputer des frais causés inutilement (art. 108 CPC). On ne saurait, en effet, lui faire grief d'avoir requis son inscription en tant qu'administrateur de la société appelante au Registre du commerce et d'avoir représenté celle-ci au moment de l'introduction de la requête au vu de l'état de fait ci-dessus. Par ailleurs, les frais de</w:t>
      </w:r>
    </w:p>
    <w:p>
      <w:r>
        <w:t>- 19/22 -</w:t>
      </w:r>
    </w:p>
    <w:p>
      <w:r>
        <w:t>C/2216/2021 la présente procédure ne peuvent être taxés d'inutiles puisqu'ils tendent précisément à la résolution du litige opposant les parties.</w:t>
      </w:r>
    </w:p>
    <w:p>
      <w:r>
        <w:t>Les frais judiciaires seront fixés à 3'000 fr. (art. 26 et 37 RTFMC) et compensés avec l'avance fournie par l'appelante à hauteur de 2'000 fr, qui demeure acquise à l'Etat de Genève (art. 111 al. 1 CPC). Cette dernière sera condamnée à verser le solde de 1'000 fr. à l'Etat de Genève, soit pour lui les Services financiers du Pouvoir judiciaire.</w:t>
      </w:r>
    </w:p>
    <w:p>
      <w:r>
        <w:t>L'appelante sera, en outre, condamnée aux dépens d'appel de sa partie adverse, fixés à 5'000 fr. (85, 88 et 90 RTFMC).</w:t>
      </w:r>
    </w:p>
    <w:p>
      <w:r>
        <w:t>* * * * *</w:t>
      </w:r>
    </w:p>
    <w:p>
      <w:r>
        <w:t>- 20/22 -</w:t>
      </w:r>
    </w:p>
    <w:p>
      <w:r>
        <w:t>C/2216/2021 PAR CES MOTIFS, La Chambre civile : A la forme : Déclare recevable l'appel interjeté le 26 juillet 2021 par A______ SA contre l'ordonnance OTPI/516/2021 rendue le 29 juin 2021 par le Tribunal de première instance dans la cause C/2216/2021-25 SP. Préalablement : Ordonne la jonction des causes C/2216/2021 et C/1979/2021 sous le premier numéro de cause. Au fond : Confirme l'ordonnance entreprise. Déboute les parties de toutes autres conclusions. Sur les frais : Arrête les frais judiciaires d'appel à 3'000 fr., les met à la charge de A______ SA et dit qu'ils sont partiellement compensés par l'avance fournie par cette dernière, qui demeure acquise à l'Etat de Genève. Condamne A______ SA à verser 1'000 fr. à l'Etat de Genève, soit pour lui les Services financiers du Pouvoir judiciaire, à titre de frais judiciaires. Condamne A______ SA à verser à B______ le montant de 5'000 fr. à titre de dépens d'appel. Siégeant : Monsieur Laurent RIEBEN, président; Madame Fabienne GEISINGER-MARIETHOZ, Monsieur Ivo BUETTI, juges; Madame Laura SESSA, greffière.</w:t>
      </w:r>
    </w:p>
    <w:p>
      <w:r>
        <w:t>Le président : Laurent RIEBEN</w:t>
      </w:r>
    </w:p>
    <w:p>
      <w:r>
        <w:t>La greffière : Laura SESSA</w:t>
      </w:r>
    </w:p>
    <w:p>
      <w:r>
        <w:t>- 21/22 -</w:t>
      </w:r>
    </w:p>
    <w:p>
      <w:r>
        <w:t>C/2216/2021</w:t>
      </w:r>
    </w:p>
    <w:p>
      <w:r>
        <w:t>- 22/22 -</w:t>
      </w:r>
    </w:p>
    <w:p>
      <w:r>
        <w:t>C/2216/2021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septembre 2020, qu'elle considère valable, et, partant, que cette dernière est devenue l'actionnaire unique de la société en lieu et place de B______, de sorte que les décisions prises lors des assemblées générales extraordinaires des 15 janvier et 5 février 2021 sont pleinement valables. Pour sa part, l'intimé prétend que la titularité des actions n'a pas été transférée à l'acquéreuse, faute de contrat valable, d'un certificat d'actions en sa faveur et de remise du titre et que, par conséquent, il est resté l'actionnaire de la société.</w:t>
      </w:r>
    </w:p>
    <w:p>
      <w:r>
        <w:rPr>
          <w:b/>
        </w:rPr>
        <w:t>E. 9</w:t>
      </w:r>
    </w:p>
    <w:p>
      <w:r>
        <w:t>février 2021 rédigé par l'intimé, par lequel il déclarait indirectement ne plus être actionnaire de A______ SA. Quoi en dise l'appelante, ce document, sorti de son contexte, ne saurait constituer une révocation de sa déclaration d'invalidation du contrat. Compte tenu de ce qui précède, la décision du Tribunal, qui a retenu que le contrat d'achat et vente d'actions était vraisemblablement entaché d'une erreur essentielle, voire d'un dol, n'apparaît pas critiquable.</w:t>
      </w:r>
    </w:p>
    <w:p>
      <w:r>
        <w:t>- 17/22 -</w:t>
      </w:r>
    </w:p>
    <w:p>
      <w:r>
        <w:t>C/2216/2021 Le contrat valant titre d'acquisition étant ainsi vraisemblablement privé de tout effet dès sa conclusion (ex tunc), il s'ensuit que le transfert de propriété des actions litigieuses ne repose vraisemblablement pas sur une cause valable. Cela suffit à sceller le sort du litige puisque la première condition relative au transfert de propriété fait défaut. Le jugement entrepris sera donc confirmé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