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ACJC/766/2016 vom 6. Juni 2016</w:t>
      </w:r>
    </w:p>
    <w:p>
      <w:r>
        <w:t>GE Cour de justice, 2016-06-06, FR</w:t>
      </w:r>
    </w:p>
    <w:p>
      <w:r>
        <w:rPr>
          <w:b/>
        </w:rPr>
        <w:t xml:space="preserve">Quelle: </w:t>
      </w:r>
      <w:r>
        <w:t>https://mcp.opencaselaw.ch/entscheid/ge_gerichte_ACJC_766_2016</w:t>
      </w:r>
    </w:p>
    <w:p>
      <w:r>
        <w:t>FR: GE_GERICHTE ACJC/766/2016 du 6 juin 2016</w:t>
      </w:r>
    </w:p>
    <w:p>
      <w:r>
        <w:t>IT: GE_GERICHTE ACJC/766/2016 del 6 giugno 2016</w:t>
      </w:r>
    </w:p>
    <w:p>
      <w:pPr>
        <w:pStyle w:val="Heading2"/>
      </w:pPr>
      <w:r>
        <w:t>Regeste</w:t>
      </w:r>
    </w:p>
    <w:p>
      <w:r>
        <w:t>Résumé: CONVENTION SUR LES FRAIS Le versement pendant dix ans de frais accessoires, insuffisamment clairement définis dans le contrat de bail écrit, ne saurait constituer une convention sur les frais à la charge du locataire, conclue par actes concluants.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