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ACJC/765/2022 vom 14. Juni 2022</w:t>
      </w:r>
    </w:p>
    <w:p>
      <w:r>
        <w:t>GE Cour de justice, 2022-06-14, FR</w:t>
      </w:r>
    </w:p>
    <w:p>
      <w:r>
        <w:rPr>
          <w:b/>
        </w:rPr>
        <w:t xml:space="preserve">Quelle: </w:t>
      </w:r>
      <w:r>
        <w:t>https://mcp.opencaselaw.ch/entscheid/ge_gerichte_ACJC_765_2022</w:t>
      </w:r>
    </w:p>
    <w:p>
      <w:r>
        <w:t>FR: GE_GERICHTE ACJC/765/2022 du 14 juin 2022</w:t>
      </w:r>
    </w:p>
    <w:p>
      <w:r>
        <w:t>IT: GE_GERICHTE ACJC/765/2022 del 14 giugno 2022</w:t>
      </w:r>
    </w:p>
    <w:p>
      <w:pPr>
        <w:pStyle w:val="Heading2"/>
      </w:pPr>
      <w:r>
        <w:t>Erwägungen</w:t>
      </w:r>
    </w:p>
    <w:p>
      <w:r>
        <w:rPr>
          <w:b/>
        </w:rPr>
        <w:t>E. 1.1</w:t>
      </w:r>
    </w:p>
    <w:p>
      <w:r>
        <w:t>Le jugement querellé est une décision finale de première instance (art. 308 al. 1 let. a CPC), rendue dans une affaire patrimoniale dont la valeur litigieuse au dernier état des conclusions était supérieure à 10'000 fr. (art. 308 al. 2 CPC), de sorte que la voie de l'appel est ouverte.</w:t>
      </w:r>
    </w:p>
    <w:p>
      <w:r>
        <w:rPr>
          <w:b/>
        </w:rPr>
        <w:t>E. 1.2</w:t>
      </w:r>
    </w:p>
    <w:p>
      <w:r>
        <w:t>Déposé dans le délai utile et selon la forme prescrite par la loi (art. 130 al. 1, 131, 145 al. 1 let. b et 311 al. 1 CPC), l'appel est recevable.</w:t>
      </w:r>
    </w:p>
    <w:p>
      <w:r>
        <w:rPr>
          <w:b/>
        </w:rPr>
        <w:t>E. 2</w:t>
      </w:r>
    </w:p>
    <w:p>
      <w:r>
        <w:t>La Cour revoit la cause en fait et en droit avec un plein pouvoir d'examen (art. 310 CPC), mais uniquement dans la limite des griefs motivés qui sont formulés (ATF 142 III 413 consid. 2.2.4). En particulier, elle contrôle librement l'appréciation des preuves effectuée par le juge de première instance et vérifie si celui-ci pouvait admettre les faits qu'il a retenus (ATF 138 III 374 consid. 4.3.1; arrêt du Tribunal fédéral 4A_55/2017 du 16 juin 2017 consid. 5.2.3.2).</w:t>
      </w:r>
    </w:p>
    <w:p>
      <w:r>
        <w:t>Elle applique la maxime des débats et le principe de disposition (art. 55 al. 1, 58 al. 1 et 247 al. 1 CPC).</w:t>
      </w:r>
    </w:p>
    <w:p>
      <w:r>
        <w:rPr>
          <w:b/>
        </w:rPr>
        <w:t>E. 3</w:t>
      </w:r>
    </w:p>
    <w:p>
      <w:r>
        <w:t>L'appelant a produit des pièces nouvelles devant la Cour.</w:t>
      </w:r>
    </w:p>
    <w:p>
      <w:r>
        <w:rPr>
          <w:b/>
        </w:rPr>
        <w:t>E. 3.1</w:t>
      </w:r>
    </w:p>
    <w:p>
      <w:r>
        <w:t>Selon l'art. 317 al. 1 CPC, les faits et moyens de preuve nouveaux ne sont pris en considération au stade de l'appel que s'ils sont invoqués ou produits sans retard</w:t>
      </w:r>
    </w:p>
    <w:p>
      <w:r>
        <w:t>- 15/24 -</w:t>
      </w:r>
    </w:p>
    <w:p>
      <w:r>
        <w:t>C/30038/2018 (let. a) et s'ils ne pouvaient l'être devant la première instance bien que la partie qui s'en prévaut ait fait preuve de diligence (let. b).</w:t>
      </w:r>
    </w:p>
    <w:p>
      <w:r>
        <w:t>Les pseudo nova sont des faits et moyens de preuve qui étaient déjà survenus lorsque les débats principaux de première instance ont été clôturés. Leur admissibilité est largement limitée en appel, dès lors qu'ils sont irrecevables lorsqu'en faisant preuve de la diligence requise, ils auraient déjà pu être invoqués dans la procédure de première instance. Il appartient au plaideur d'exposer en détails les motifs pour lesquels il n'a pas pu les présenter en première instance déjà (ATF 143 III 42 consid. 4.1; arrêt du Tribunal fédéral 5A_1006/2017 du 5 février 2018 consid. 3.3).</w:t>
      </w:r>
    </w:p>
    <w:p>
      <w:r>
        <w:t>Dans le cas d'un pseudo nova, les conditions de l'art. 317 lit. a et b CPC peuvent être considérées comme réunies lorsque seul le jugement attaqué donne lieu à cet allégué (arrêt du Tribunal fédéral 4A_540/2014 du 18 mars 2015 consid. 3.1).</w:t>
      </w:r>
    </w:p>
    <w:p>
      <w:r>
        <w:rPr>
          <w:b/>
        </w:rPr>
        <w:t>E. 3.2</w:t>
      </w:r>
    </w:p>
    <w:p>
      <w:r>
        <w:t>En l'occurrence, l'appelant fait valoir que l'identité économique entre lui- même et les sociétés C______ SA et E______ SA n'ayant pas été alléguée en première instance, seule la lecture du jugement entrepris, qui retenait celle-ci, imposait la production des pièces nouvelles litigieuses, et l'allégation des faits y afférents (pseudo nova) concernant la structure et l'organisation interne de ces sociétés.</w:t>
      </w:r>
    </w:p>
    <w:p>
      <w:r>
        <w:t>Or, la présente procédure a été initiée à l'encontre de l'appelant personnellement et non des sociétés concernées. Ce dernier n'a toutefois pas plaidé un défaut de légitimation passive devant le premier juge. Par ailleurs, à teneur de son écriture responsive, il a même admis qu'il s'agissait de ses sociétés, dont il était actionnaire (cf. consid. 4.2 infra). S'il estimait ne pas être le défendeur légitime de l'action, et donc l'ayant droit économique de C______ SA et E______ SA, il devait le faire valoir et produire les pièces utiles à cet égard, ce qu'il n'a pas fait.</w:t>
      </w:r>
    </w:p>
    <w:p>
      <w:r>
        <w:t>En produisant celles-ci uniquement en appel, il n'a pas fait preuve de la diligence requise en la matière. Partant, les pièces nouvelles produites par l'appelant, qui sont antérieures à la procédure ou non datées, ainsi que les faits s'y rapportant, ne sont pas recevables.</w:t>
      </w:r>
    </w:p>
    <w:p>
      <w:r>
        <w:rPr>
          <w:b/>
        </w:rPr>
        <w:t>E. 4</w:t>
      </w:r>
    </w:p>
    <w:p>
      <w:r>
        <w:t>L'appelant fait grief au Tribunal d'avoir retenu une identité économique entre lui- même et les sociétés C______ SA et E______ SA, alors que le principe de la transparence n'avait pas été allégué par les parties.</w:t>
      </w:r>
    </w:p>
    <w:p>
      <w:r>
        <w:t>4.1.1 Si la légitimation active - ou passive - en tant que condition matérielle de la prétention déduite en justice doit être examinée d'office par le juge (ATF 126 III 59 consid. 1a), lorsque la maxime des débats s'applique, cet examen ne peut se faire que sur la base des faits allégués et prouvés (ATF 118 la 129 consid. 1; arrêt du Tribunal fédéral 4A_197/2012 du 30 juillet 2012 consid. 4.2).</w:t>
      </w:r>
    </w:p>
    <w:p>
      <w:r>
        <w:t>- 16/24 -</w:t>
      </w:r>
    </w:p>
    <w:p>
      <w:r>
        <w:t>C/30038/2018 Le juge n'est pas autorisé à pallier aux carences d'une partie, par exemple en attirant l'attention de celle-ci sur des faits qu'elle n'a pas allégués, pas plus qu'il ne peut l'aider à mieux défendre sa cause ou lui suggérer des arguments (ATF 142 III 462 consid. 4.3; arrêt du Tribunal fédéral 4A_217/2017 du 4 août 2017 consid. 3.4.1).</w:t>
      </w:r>
    </w:p>
    <w:p>
      <w:r>
        <w:t>Dans les procès régis par la maxime des débats, le tribunal est lié par les faits allégués par le demandeur (art. 55 al. 1 CPC), comme par les faits non contestés par le défendeur (art. 150 al. 1 CPC; arrêt du Tribunal fédéral 4A_146/2015 du 19 août 2015 consid. 4.3). Les faits allégués peuvent être reconnus expressément ou tacitement. Savoir si et dans quelle mesure un fait est contesté relève de la constatation des faits (arrêt du Tribunal fédéral 4A_487/2018 du 30 janvier 2019 consid. 4.2.1).</w:t>
      </w:r>
    </w:p>
    <w:p>
      <w:r>
        <w:t>4.1.2 Lorsqu'une personne fonde une personne morale, notamment une société anonyme, il faut en principe considérer qu'il y a deux sujets de droit distincts avec des patrimoines séparés: la personne physique d'une part et la société anonyme d'autre part (arrêt du Tribunal fédéral 4C_15/2004 du 12 mai 2004 consid. 5.2). Il en va ainsi même en présence d'une société anonyme à actionnaire unique, bien que ce genre de structure ne corresponde pas à la société anonyme type, telle que la voulait le législateur, c'est-à-dire une société de caractère capitaliste et collectiviste qui exerce une activité commerciale ou industrielle. Ce genre de société anonyme, création de la pratique, est néanmoins toléré en droit suisse et, malgré l'identité économique entre la société et l'actionnaire, on les traite en principe comme des sujets de droit distincts, avec des patrimoines séparés (ATF 128 II 329 consid. 2.4; 97 II 289 consid. 3; arrêts du Tribunal fédéral 4C_15/2004 précité consid. 5.2 et 5C.209/2001 du 12 février 2002 consid. 3a).</w:t>
      </w:r>
    </w:p>
    <w:p>
      <w:r>
        <w:t>Toutefois, dans des circonstances particulières, un tiers peut être tenu des engagements d'un débiteur avec lequel il forme une identité économique (arrêts du Tribunal fédéral 5A_876/2015 consid. 4.2; 5A_654/2010 consid. 7.3.1 et 5A_871/2009 consid. 7.1). En effet, selon le principe de la transparence ("Durchgriff"), on ne peut pas s'en tenir sans réserve à l'existence formelle de deux personnes juridiquement distinctes lorsque tout l'actif ou la quasi-totalité de l'actif d'une personne morale appartient soit directement, soit par personnes interposées, à une même personne, physique ou morale; malgré la dualité de personnes à la forme, il n'existe pas deux entités indépendantes, la personne morale étant un simple instrument dans la main de son auteur, qui, économiquement, ne fait qu'un avec elle. On doit admettre que, conformément à la réalité économique, il y a identité de personnes et que les rapports de droit liant l'une lient également l'autre; ce sera le cas chaque fois que le fait d'invoquer la diversité des sujets constitue un abus de droit, notamment en détournant la loi, en violant un contrat ou en portant une atteinte illicite aux intérêts d'un tiers (art. 2</w:t>
      </w:r>
    </w:p>
    <w:p>
      <w:r>
        <w:t>- 17/24 -</w:t>
      </w:r>
    </w:p>
    <w:p>
      <w:r>
        <w:t>C/30038/2018 al. 2 CC; sur le principe de la transparence en général: ATF 144 III 541 consid. 8.3.1).</w:t>
      </w:r>
    </w:p>
    <w:p>
      <w:r>
        <w:rPr>
          <w:b/>
        </w:rPr>
        <w:t>E. 4.2</w:t>
      </w:r>
    </w:p>
    <w:p>
      <w:r>
        <w:t>En l'occurrence, les créances alléguées par l'intimée, et encore litigeuses en appel, résultent des contrats de mandat conclus le 9 mars 2016 pour ses activités concernant les sociétés C______ SA, E______ SA et K______ SA. En effet, le paiement des factures liées à F______ SA a été définitivement résolu dans le cadre de la procédure n° C/17______/2018, ayant abouti au jugement JTPI/4722/2020 du 23 avril 2020, dûment exécuté.</w:t>
      </w:r>
    </w:p>
    <w:p>
      <w:r>
        <w:t>A teneur de l'art. 2.2.2 des contrats de mandat concernant les activités de l'intimée pour les sociétés C______ SA et E______ SA, l'appelant, en sa qualité de mandant, était expressément et personnellement responsable du paiement des factures y relatives, ce que ce dernier ne remet pas en cause en appel. Le principe de la transparence n'est donc pas nécessaire pour engager sa propre responsabilité.</w:t>
      </w:r>
    </w:p>
    <w:p>
      <w:r>
        <w:t>S'agissant du contrat de mandat conclu par C______ SA pour K______ SA, le premier juge a retenu que l'appelant pouvait signer seul celui-ci, indépendamment de son pouvoir de signature collective à deux, et s'engager personnellement, dès lors qu'il y avait identité économique entre lui et C______ SA, ce qui n'est pas critiquable.</w:t>
      </w:r>
    </w:p>
    <w:p>
      <w:r>
        <w:t>En effet, contrairement à ce que soutient l'appelant, l'intimée a allégué en première instance que les sociétés concernées, soit en particulier C______ SA, appartenaient à l'appelant et que de facto il en était l'ayant droit économique. Dans sa réponse, l'appelant a explicitement admis que les sociétés concernées lui appartenaient et qu'il en était actionnaire (allégués n° 149, 197 et 193), sans autre précision, se limitant à réfuter avoir occupé une position dirigeante au sein de C______ SA, alors même qu'il en était l'administrateur président.</w:t>
      </w:r>
    </w:p>
    <w:p>
      <w:r>
        <w:t>Le premier juge était ainsi fondé à retenir que l'appelant n'avait pas sérieusement contesté l'identité économique entre lui-même et C______ SA, étant en outre rappelé qu'il n'a pas plaidé un défaut de légitimation passive.</w:t>
      </w:r>
    </w:p>
    <w:p>
      <w:r>
        <w:t>Par ailleurs, il ressort du contrat de mandat conclu par l'appelant personnellement pour la société C______ SA qu'il en était le bénéficiaire économique ("acting in its his quality of ultimate Beneficial Owner"). En outre, il a signé seul, pour les quatre sociétés, la convention du 9 mars 2016 portant sur les honoraires de l'intimée, ce qui accrédite la thèse selon laquelle il est l'ayant droit économique de ces sociétés, en particulier de C______ SA.</w:t>
      </w:r>
    </w:p>
    <w:p>
      <w:r>
        <w:t>Dans ces circonstances, le premier juge pouvait, sans arbitraire, retenir que l'appelant invoquait abusivement une dualité économique entre lui-même et C______ SA dans l'unique but de se soustraire au paiement de la dette de</w:t>
      </w:r>
    </w:p>
    <w:p>
      <w:r>
        <w:t>- 18/24 -</w:t>
      </w:r>
    </w:p>
    <w:p>
      <w:r>
        <w:t>C/30038/2018 K______ SA à l'égard de l'intimée et ainsi appliquer le principe de la transparence, d'autant plus qu'il s'agit d'une règle de droit applicable d'office.</w:t>
      </w:r>
    </w:p>
    <w:p>
      <w:r>
        <w:t>Mal fondé, le grief de l'appelant sera donc rejeté.</w:t>
      </w:r>
    </w:p>
    <w:p>
      <w:r>
        <w:rPr>
          <w:b/>
        </w:rPr>
        <w:t>E. 5</w:t>
      </w:r>
    </w:p>
    <w:p>
      <w:r>
        <w:t>L'appelant reproche, en substance, au premier juge d'avoir retenu que l'intimée avait rendu des services dans le cadre des contrats litigieux. Selon lui, les factures produites étaient totalement erronées, de sorte qu'elles ne constituaient pas une preuve des activités fournies, ni de la rémunération exigée. En tous les cas, les prestations effectuées par l'intimée avaient mal été exécutées, de sorte que celle-ci n'avait pas droit à être rémunérée.</w:t>
      </w:r>
    </w:p>
    <w:p>
      <w:r>
        <w:t>5.1.1 A teneur de l'art. 394 al. 1 CO, le mandat est un contrat par lequel le mandataire s'oblige, dans les termes de la convention, à gérer l'affaire dont il s'est chargé ou à rendre les services qu'il a promis (art. 394 al. 1 CO). Une rémunération est due au mandataire si la convention ou l'usage lui en assure une (art. 394 al. 3 CO).</w:t>
      </w:r>
    </w:p>
    <w:p>
      <w:r>
        <w:t>Les honoraires dus à un mandataire sont fixés en première ligne d'après la convention des parties (ATF 101 II 109 consid. 2).</w:t>
      </w:r>
    </w:p>
    <w:p>
      <w:r>
        <w:t>Il appartient au mandataire de prouver les prestations qu'il a fournies, de manière à permettre la détermination de la somme qu'il réclame (art. 8 CC). En revanche, si le mandant entend faire valoir, par exception, que le mandataire n'a pas droit à ses honoraires en raison d'une mauvaise exécution, il lui incombe d'en apporter la preuve s'il n'a pas refusé la prestation (arrêts du Tribunal fédéral 4A_267/2010 du 28 juillet 2010 consid. 3 et 4C_61/2001 du 14 juin 2001 consid. 3b).</w:t>
      </w:r>
    </w:p>
    <w:p>
      <w:r>
        <w:t>Selon la jurisprudence, le mandataire, même en cas d'exécution défectueuse du mandat, a droit à des honoraires pour l'activité qu'il a exercée en conformité avec le contrat. Ce n'est que dans le cas où l'exécution défectueuse du mandat est assimilable à une totale inexécution, se révélant inutile ou inutilisable, que le mandataire peut perdre son droit à rémunération; il en est de même lorsque la rémunération du mandataire est elle-même constitutive du dommage causé par l'exécution défectueuse (ATF 124 III 423 consid. 4a; arrêts du Tribunal fédéral 4A_89/2017 du 2 octobre 2017 consid. 5.2.2 et 4A_242/2008 du 2 octobre 2008 consid. 5).</w:t>
      </w:r>
    </w:p>
    <w:p>
      <w:r>
        <w:t>Le mandant doit également rembourser au mandataire les frais que celui-ci a faits pour l'exécution régulière du mandat (art. 402 al. 1 CO). Il faut comprendre l'expression "exécution régulière du mandat" en ce sens que, pour être remboursable, il faut que ces impenses, faites volontairement en faveur du mandant, aient été objectivement rendues nécessaires pour l'exécution du contrat (ATF 110 II 283, in JdT 1985 I 16) ou qu'elles correspondent aux instructions du mandant (ATF 108 II 197, in JdT 1982 I 548).</w:t>
      </w:r>
    </w:p>
    <w:p>
      <w:r>
        <w:t>- 19/24 -</w:t>
      </w:r>
    </w:p>
    <w:p>
      <w:r>
        <w:t>C/30038/2018</w:t>
      </w:r>
    </w:p>
    <w:p>
      <w:r>
        <w:t>5.1.2 Comme déjà relevé, lorsque la maxime des débats est applicable (art. 55 al. 1 CPC), il incombe aux parties, et non au juge, de rassembler les faits du procès. Les parties doivent alléguer les faits sur lesquels elles fondent leurs prétentions, produire les moyens de preuve qui s'y rapportent (art. 55 al. 1 CPC) et contester les faits allégués par la partie adverse, le juge ne devant administrer les moyens de preuve que sur les faits pertinents et contestés (art. 150 al. 1 CPC; ATF 144 III 519 consid. 5.1 et les références citées).</w:t>
      </w:r>
    </w:p>
    <w:p>
      <w:r>
        <w:t>Les faits doivent être contestés dans la réponse (art. 222 al. 2 2ème phrase CPC) et, pour les faits allégués par le défendeur, en règle générale, dans la réplique, car seuls les faits contestés doivent être prouvés (art. 150 al. 1 CPC). La partie adverse peut en principe se contenter de contester les faits allégués (ATF 115 II 1 consid. 4), puisqu'elle n'est pas chargée du fardeau de la preuve et n'a donc en principe pas le devoir de collaborer à l'administration des preuves (ATF 117 II 113 consid. 2). Il est toutefois possible d'exiger d'elle qu'elle concrétise sa contestation, de façon que le demandeur puisse savoir quels allégués précis sont contestés et, partant, puisse faire administrer la preuve dont le fardeau lui incombe; plus les allégués du demandeur sont motivés, plus les exigences de contestation de ceux-ci par la partie adverse sont élevées (ATF 144 III 519 consid. 5.2.2 et les références).</w:t>
      </w:r>
    </w:p>
    <w:p>
      <w:r>
        <w:t>Ainsi, lorsque le demandeur allègue dans ses écritures un montant dû en produisant une facture ou un compte détaillés, qui contient les informations nécessaires de manière explicite, on peut exiger du défendeur qu'il indique précisément les positions de la facture ou les articles du compte qu'il conteste, à défaut de quoi la facture ou le compte est censé admis et n'aura donc pas à être prouvé (art. 150 al. 1 CPC; ATF 144 III 519 consid. 5.2.2.1 à 5.2.2.3).</w:t>
      </w:r>
    </w:p>
    <w:p>
      <w:r>
        <w:t>5.2.1 En l'espèce, l'appelant soutient que l'intimée n'a pas allégué avoir effectué les services prévus par les contrats de mandat litigieux, de sorte qu'elle devait en supporter les conséquences. Il est toutefois évident à la lecture de la demande en paiement de l'intimée que celle-ci réclame le paiement des factures litigieuses et donc des prestations qu'elle a effectuées et qui sont détaillées dans les "time-sheet" produits.</w:t>
      </w:r>
    </w:p>
    <w:p>
      <w:r>
        <w:t>A cet égard, l'appelant ne peut pas de bonne foi se prévaloir du fait que le représentant de l'intimée, G______, n'a pas expressément déclaré en audience avoir déployé des activités pour C______ SA, E______ SA et K______ SA. En effet, ce dernier a été auditionné dans le cadre de la procédure n° C/17______/2018 ayant opposé l'intimée à F______ SA, dont l'apport a été ordonné dans la présente procédure. Ces deux procédures reposent sur le même complexe de faits, soit les contrats litigieux et les factures y afférentes, et les parties ont accepté que le Tribunal se réfère directement aux déclarations et témoignages contenus dans cette procédure. Pour rappel, le jugement</w:t>
      </w:r>
    </w:p>
    <w:p>
      <w:r>
        <w:t>- 20/24 -</w:t>
      </w:r>
    </w:p>
    <w:p>
      <w:r>
        <w:t>C/30038/2018 JTPI/4722/2020 du 23 avril 2020 a condamné F______ SA à s'acquitter des factures de l'intimée à concurrence de 60% pour les services rendus par celle-ci et ce jugement n'a pas fait l'objet d'un appel.</w:t>
      </w:r>
    </w:p>
    <w:p>
      <w:r>
        <w:t>Par ailleurs, l'appelant n'est pas crédible lorsqu'il soutient que l'intimée n'a fourni aucune prestation, C______ SA, E______ SA et K______ SA n'ayant jamais eu d'activité et l'ensemble de leurs dossiers comptables et administratifs étant soi- disant à jour. En effet, l'appelant allègue, en parallèle, et de manière contradictoire, que les services rendus par l'intimée pour lesdites sociétés avaient mal été exécutés par celle-ci.</w:t>
      </w:r>
    </w:p>
    <w:p>
      <w:r>
        <w:t>L'intimée a donc allégué avoir fourni les prestations dont elle réclame le paiement.</w:t>
      </w:r>
    </w:p>
    <w:p>
      <w:r>
        <w:t>A l'appui de cet allégué, l'intimée a produit les factures litigieuses, ainsi que le détail des prestations effectuées ("time-sheet"), ce qui est suffisant pour attester de l'existence de celles-ci, contrairement à ce que soutient l'appelant. Le témoin Q______, qui fournissait également des prestations pour C______ SA, E______ SA et K______SA, a d'ailleurs confirmé que les activités facturées correspondaient aux prestations fournies par elle et P______. Le témoin U______ a également confirmé les services rendus par ce dernier, les qualifiant toutefois de désorganisés. Il ressort aussi du témoignage de T______ que l'intimée a bel et bien fourni une activité dans le cadre des mandats litigieux. En outre, comme relevé par le premier juge, l'activité déployée par l'intimée ressort également des pièces figurant au dossier, en particulier des échanges de courriels produits, à teneur desquels l'intimée a fourni des prestations relatives à la domiciliation, la comptabilité ou encore l'administration des sociétés.</w:t>
      </w:r>
    </w:p>
    <w:p>
      <w:r>
        <w:t>Le fait que l'intimée n'a pas contacté l'appelant, ou les sociétés concernées, pour expliquer les heures de travail comptabilisées dans ses factures n'est pas déterminant. En effet, l'intimée a valablement allégué ses factures dans sa demande en paiement et a motivé son allégation en produisant le détail de ses prestations, soit les "time-sheet", étant précisé que ceux-ci étaient suffisamment explicites et contenaient les informations nécessaires pour que l'appelant puisse se prononcer clairement et précisément sur ce point. Lesdits "time-sheet" ne sont pas illisibles et incompréhensibles, comme soutenu par l'appelant. L'intimée, soit pour elle, G______, a d'ailleurs expliqué la tenue de ceux-ci en audience et le témoin Q______ s'est également exprimée à ce sujet. En outre, l'appelant a été en mesure de contester précisément les postes des "time-sheet" dans son écriture d'appel, mais de manière tardive.</w:t>
      </w:r>
    </w:p>
    <w:p>
      <w:r>
        <w:t>En effet, devant le premier juge, l'appelant s'est limité à contester certains postes des factures adressées à F______ SA, soit celles n° 12______, 13______ et 14______, sans se prononcer sur les factures litigieuses dans le cadre de la présente procédure, soit celles adressées à C______ SA, E______ SA et</w:t>
      </w:r>
    </w:p>
    <w:p>
      <w:r>
        <w:t>- 21/24 -</w:t>
      </w:r>
    </w:p>
    <w:p>
      <w:r>
        <w:t>C/30038/2018 K______ SA. A cet égard, l'appelant s'est contenté d'une contestation toute générale des services rendus par l'intimée, alors qu'il lui incombait de se déterminer en détail sur les "time-sheet" produits. En effet, si l'intimée avait le fardeau de la preuve de prouver les activités réalisées, de tels relevés détaillés étaient suffisants à soutenir ses allégations. L'appelant devait alors les contester en détail, s'il entendait confronter l'intimée et l'obliger à fournir des preuves supplémentaires. Contrairement à ce que soutient l'appelant, il ne lui incombait donc pas de prouver un fait négatif, mais de contester de manière claire et détaillée les différents postes décrits dans les "time-sheet", ce qu'il n'a pas fait en première instance. Le premier juge était ainsi fondé à retenir que ceux-ci étaient dans leur majeure partie admis par l'appelant, étant précisé que les quelques critiques énoncées de manière générale par ce dernier ont été traitées par le Tribunal, et que donc que l'activité déployée par l'intimée était prouvée.</w:t>
      </w:r>
    </w:p>
    <w:p>
      <w:r>
        <w:t>Il s'ensuit que la Cour ne peut pas traiter les contestations détaillées des "time- sheet" soulevées par l'appelant pour la première fois en appel.</w:t>
      </w:r>
    </w:p>
    <w:p>
      <w:r>
        <w:t>5.2.2 L'appelant fait valoir que l'intimée a perdu son droit à être rémunérée.</w:t>
      </w:r>
    </w:p>
    <w:p>
      <w:r>
        <w:t>Il n'a toutefois pas établi que l'exécution des mandats litigieux avait été si défectueuse qu'elle devait être assimilée à une totale inexécution. En effet, il n'a pas démontré que les comptes des sociétés avaient dus être entièrement remaniés par sa nouvelle fiduciaire, au motif que l'activité de l'intimée était inutilisable, les seules déclarations imprécises du témoin U______ n'étant pas suffisantes à cet égard. L'appelant n'a d'ailleurs pas non plus formulé de manière précise quelles erreurs comptables auraient été commises par l'intimée.</w:t>
      </w:r>
    </w:p>
    <w:p>
      <w:r>
        <w:t>En outre, le prononcé d'une amende pour le défaut de déclaration 2015 à l'encontre de F______ SA par l'Administration fiscale vaudoise ne suffit pas en soi à établir que l'intimée a perdu son droit à être rémunérée, d'autant plus que le mandat relatif à cette société n'est pas l'objet de la présente procédure. Par ailleurs, l'appelant ne peut pas requérir que l'intimée soit condamnée à réparer le prétendu dommage infligé aux sociétés concernées, une telle prétention n'ayant pas été formulée en première instance.</w:t>
      </w:r>
    </w:p>
    <w:p>
      <w:r>
        <w:t>De plus, à teneur des courriels produits et de l'activité déployée par l'intimée, le premier juge était fondé à retenir que les nombreuses demandes de documents et de renseignements de la part de P______ à l'appelant ne paraissaient pas inutiles pour l'exécution des mandats, ce qui n'est pas contesté en appel.</w:t>
      </w:r>
    </w:p>
    <w:p>
      <w:r>
        <w:t>Comme retenu par le premier juge, bien que le témoin U______ ait déclaré que l'intimée n'avait pas suivi les instructions de l'appelant pour la société K______ SA, elle n'avait pas été en mesure de fournir un exemple précis pour illustrer ses propos. Il en va de même de l'appelant qui n'explique pas clairement en quoi ses instructions n'auraient pas été suivies par l'intimée.</w:t>
      </w:r>
    </w:p>
    <w:p>
      <w:r>
        <w:t>- 22/24 -</w:t>
      </w:r>
    </w:p>
    <w:p>
      <w:r>
        <w:t>C/30038/2018</w:t>
      </w:r>
    </w:p>
    <w:p>
      <w:r>
        <w:t>Le fait que l'intimée, après la fin des mandats, n'a pas rendu compte du détail de ses activités ou encore n'a pas restitué immédiatement les documents en sa possession à l'appelant, compte tenu du conflit les opposant, soit le non-paiement des factures, n'est pas déterminant pour lui refuser son droit à être rémunérée.</w:t>
      </w:r>
    </w:p>
    <w:p>
      <w:r>
        <w:t>Par conséquent, l'intimée a droit à sa rémunération.</w:t>
      </w:r>
    </w:p>
    <w:p>
      <w:r>
        <w:t>5.2.3 Contrairement à ce qu'allègue l'appelant, ce dernier a expressément soutenu en première instance, s'agissant des factures litigeuses, que le forfait de 40 heures par an pour la mise à disposition d'un administrateur devait être déduit des heures effectuées, que la facturation de certaines prestations devait être divisée entre les sociétés, car elles avaient été comptabilisées pour chacune d'elles, et que des prestions internes, notamment liées à la traduction et la facturation, n'étaient pas facturables au client.</w:t>
      </w:r>
    </w:p>
    <w:p>
      <w:r>
        <w:t>Or, le premier juge a suivi les contestations générales formulées par l'appelant, celles-ci étant fondées. En effet, G______ n'a pas été en mesure d'expliquer les raisons pour lesquelles une même activité était pleinement facturée à chaque société, de sorte qu'il était justifié de diviser celle-ci entre chacune d'elles. Ce dernier n'a pas non plus expliqué les annotations manuscrites sur les "time-sheet", de sorte qu'il se justifiait de ne pas en tenir compte. Le premier juge a également déduit des factures litigieuses le forfait afférent aux activités d'administrateur de P______, conformément à la convention sur les honoraires conclue entre les parties, ainsi que les activités internes de l'intimée relatives au classement, à la facturation et à l'établissement des "time-sheet", G______ ayant confirmé que celles-ci ne devaient pas être facturées au client.</w:t>
      </w:r>
    </w:p>
    <w:p>
      <w:r>
        <w:t>A nouveau, les contestations détaillées des "time-sheet" et des factures soulevées par l'appelant pour la première fois en appel ne peuvent pas être traitées par la Cour.</w:t>
      </w:r>
    </w:p>
    <w:p>
      <w:r>
        <w:t>S'agissant de la facture de 6'200 fr. acquittée par l'intimée en faveur de l'Etude N______, le premier juge a considéré que cette impense devait être remboursée par l'appelant, ce qui n'est pas critiquable. En effet, il ressort des pièces produites à cet égard que cette dépense apparaissait utile et nécessaire pour la bonne exécution du mandat par l'intimée en faveur de C______ SA, dès lors qu'elle concernait des conseils juridiques, ainsi que la rédaction de contrats. En outre, dans sa réponse, l'appelant s'est limité à contester de manière générale le remboursement de cette dépense, sans aucunement motiver en quoi celle-ci était inutile.</w:t>
      </w:r>
    </w:p>
    <w:p>
      <w:r>
        <w:t>Pour le surplus, le fait que les employés de l'intimée étaient rémunérés en fonction des heures de travail effectuées ne permet pas à lui seul de retenir que ces derniers "gonflaient" leur "time-sheet", comme soutenu par l'appelant.</w:t>
      </w:r>
    </w:p>
    <w:p>
      <w:r>
        <w:t>- 23/24 -</w:t>
      </w:r>
    </w:p>
    <w:p>
      <w:r>
        <w:t>C/30038/2018</w:t>
      </w:r>
    </w:p>
    <w:p>
      <w:r>
        <w:t>Compte tenu de l'ensemble de ce qui précède, le premier juge a, à juste titre, corrigé les factures litigieuses en prenant en compte les contestations générales de l'appelant, afin que celles-ci correspondent aux prestations réellement fournies par l'intimée et à la convention sur les honoraires conclue entre les parties.</w:t>
      </w:r>
    </w:p>
    <w:p>
      <w:r>
        <w:t>Partant, le jugement entrepris sera confirmé.</w:t>
      </w:r>
    </w:p>
    <w:p>
      <w:r>
        <w:rPr>
          <w:b/>
        </w:rPr>
        <w:t>E. 6.1</w:t>
      </w:r>
    </w:p>
    <w:p>
      <w:r>
        <w:t>Il n'y a pas lieu de statuer à nouveau sur les frais de première instance (art. 318 al. 3 CPC a contrario), dont la quotité n'est pas critiquée en appel.</w:t>
      </w:r>
    </w:p>
    <w:p>
      <w:r>
        <w:rPr>
          <w:b/>
        </w:rPr>
        <w:t>E. 6.2</w:t>
      </w:r>
    </w:p>
    <w:p>
      <w:r>
        <w:t>Les frais judiciaires d'appel seront arrêtés à 4'500 fr. (art 17 et 35 RTFMC) et mis à la charge de l'appelant, qui succombe (art. 106 al. 1 CPC). Ils seront compensés avec l'avance de même montant fournie par celui-ci, laquelle demeure acquise à l'Etat de Genève (art. 111 al. 1 CPC).</w:t>
      </w:r>
    </w:p>
    <w:p>
      <w:r>
        <w:t>L'appelant sera également condamné à verser à l'intimée la somme de 4'000 fr., débours et TVA compris, à titre de dépens d'appel (art. 86 et 90 RTFMC, art. 25 et 26 LaCC), étant relevé que le conseil de celle-ci n'a déposé qu'une seule écriture devant la Cour. * * * * *</w:t>
      </w:r>
    </w:p>
    <w:p>
      <w:r>
        <w:t>- 24/24 -</w:t>
      </w:r>
    </w:p>
    <w:p>
      <w:r>
        <w:t>C/30038/2018 PAR CES MOTIFS, La Chambre civile : A la forme : Déclare recevable l'appel interjeté le 9 août 2021 par A______ contre le jugement JTPI/9061/2021 rendu le 5 juillet 2021 par le Tribunal de première instance dans la cause C/30038/2018-1. Au fond : Confirme le jugement entrepris. Déboute les parties de toutes autres conclusions. Sur les frais : Arrête les frais judiciaires d'appel à 4'500 fr., les met à la charge de A______ et les compense entièrement avec l'avance effectuée par ce dernier, qui demeure acquise à l'Etat de Genève. Condamne A______ à verser 4'000 fr. à B______ SA (SUISSE) SA à titre de dépens d'appel. Siégeant : Madame Jocelyne DEVILLE-CHAVANNE, présidente; Madame Verena PEDRAZZINI RIZZI, Madame Nathalie LANDRY-BARTHE, juges; Madame Sandra CARRIER, greffière. La présidente : Jocelyne DEVILLE-CHAVANNE</w:t>
      </w:r>
    </w:p>
    <w:p>
      <w:r>
        <w:t>La greffière : Sandra CARRIER</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