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ACJC/765/2014 vom 20. November 2013</w:t>
      </w:r>
    </w:p>
    <w:p>
      <w:r>
        <w:t>GE Cour de justice, 2013-11-20, FR</w:t>
      </w:r>
    </w:p>
    <w:p>
      <w:r>
        <w:rPr>
          <w:b/>
        </w:rPr>
        <w:t xml:space="preserve">Quelle: </w:t>
      </w:r>
      <w:r>
        <w:t>https://mcp.opencaselaw.ch/entscheid/ge_gerichte_ACJC_765_2014</w:t>
      </w:r>
    </w:p>
    <w:p>
      <w:r>
        <w:t>FR: GE_GERICHTE ACJC/765/2014 du 20 novembre 2013</w:t>
      </w:r>
    </w:p>
    <w:p>
      <w:r>
        <w:t>IT: GE_GERICHTE ACJC/765/2014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w:t>
      </w:r>
    </w:p>
    <w:p>
      <w:r>
        <w:t>- 5/9 -</w:t>
      </w:r>
    </w:p>
    <w:p>
      <w:r>
        <w:t>C/8541/2013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t>- 6/9 -</w:t>
      </w:r>
    </w:p>
    <w:p>
      <w:r>
        <w:t>C/8541/2013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 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 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Zivilprozess- ordnung [ZPO], BRUNNER/GASSER/SCHWANDER [éd.], 2011, n. 4 ad art. 209 CPC; HONEGGER, in Kommentar zur Schweizerischen Zivilprozessordnung [ZPO], SUTTER-SOMM/ HASENBÖHLER/LEUENBERGER [éd.], 2ème éd. 2013, n. 1 ad art. 209 CPC). En effet, bien que l'existence d'une autorisation de procéder valable ne soit pas mentionnée dans les conditions de recevabilité de l'action énumérées à l'art. 59 al. 2 CPC - dont la liste n'est pas exhaustive comme l'indique clairement l'uti- 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2ème éd. 2013, n. 9 et 57 ad art. 59 CPC; ZINGG, in Berner Kommentar, Schweizerische Zivilprozess- ordnung, vol. I, 2012, n. 25 et 161 ad art. 59 CPC; STAEHELIN ET AL., Zivil- prozessrecht, 2ème éd. 2013, p. 167 § 11 ch. 5d; BOHNET, op. cit., n. 64 et 65 ad art. 59 CPC; SUTTER-SOMM, Das Schlichtungsverfahren der ZPO: ausgewählte Problempunkte, RSPC 2012 p. 77; DOMEJ, in ZPO, Oberhammer [éd.], 2010, n. 15 ad art. 59 CPC; COURVOISIER, in Schweizerische Zivilprozessordnung [ZPO], Baker &amp; McKenzie [éd.], 2010, n. 12 ad art. 59 CPC). 3.2 Le tribunal notifie aux personnes concernées notamment les citations, les or- 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w:t>
      </w:r>
    </w:p>
    <w:p>
      <w:r>
        <w:t>- 7/9 -</w:t>
      </w:r>
    </w:p>
    <w:p>
      <w:r>
        <w:t>C/8541/2013 (al. 3 let. a). La théorie de la réception absolue ne s'applique donc pas (ATF 138 III 615 consid 2.4). Le Tribunal fédéral a récemment retenu que lorsque l'autorisation de procéder a été notifiée par la Commission, le délai de trente jours pour saisir le tribunal com- mençait à courir le lendemain de la réception de cette autorisation (art. 209 al. 4 CPC en lien avec l'art. 142 al. 1 CPC; arrêt du Tribunal fédéral 4A_518/2012 du 8 janvier 2013 consid. 2). A teneur de l'art. 145 al. 1 let. b CPC, les délais ne courent pas du 15 juillet au 15 août inclus. Les délais pour ouvrir action devant le tribunal ensuite de la délivrance d'une autorisation de procéder sont suspendus pendant les féries (art. 145 et 209 al. 3 et 4 CPC; arrêt du Tribunal fédéral 4A_391/2012 du 20 septembre 2012 consid. 2). 3.3 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 ment, que cette autorisation constitue un acte judiciaire. Le dies a quo pour porter l'affaire devant le Tribunal commence donc à courir le lendemain de la notifi- 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en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w:t>
      </w:r>
    </w:p>
    <w:p>
      <w:r>
        <w:t>- 8/9 -</w:t>
      </w:r>
    </w:p>
    <w:p>
      <w:r>
        <w:t>C/8541/2013 4.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- 9/9 -</w:t>
      </w:r>
    </w:p>
    <w:p>
      <w:r>
        <w:t>C/8541/2013 PAR CES MOTIFS, La Chambre des baux et loyers : A la forme : Déclare recevable l'appel interjeté le 6 janvier 2014 par A______ contre le jugement JTBL/1304/2013 rendu le 20 novembre 2013 par le Tribunal des baux et loyers dans la cause C/8541/2013-2-OSB.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dispo- 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