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ACJC/764/2015 vom 24. November 2014</w:t>
      </w:r>
    </w:p>
    <w:p>
      <w:r>
        <w:t>GE Cour de justice, 2014-11-24, FR</w:t>
      </w:r>
    </w:p>
    <w:p>
      <w:r>
        <w:rPr>
          <w:b/>
        </w:rPr>
        <w:t xml:space="preserve">Quelle: </w:t>
      </w:r>
      <w:r>
        <w:t>https://mcp.opencaselaw.ch/entscheid/ge_gerichte_ACJC_764_2015</w:t>
      </w:r>
    </w:p>
    <w:p>
      <w:r>
        <w:t>FR: GE_GERICHTE ACJC/764/2015 du 24 novembre 2014</w:t>
      </w:r>
    </w:p>
    <w:p>
      <w:r>
        <w:t>IT: GE_GERICHTE ACJC/764/2015 del 24 novembre 2014</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et selon la forme prescrite par la loi (art. 311 al. 1 CPC) et porte sur des conclusions qui, capitalisées selon l'art. 92 al. 2 CPC, sont supérieures à 10'000 fr.; il est donc recevable.</w:t>
      </w:r>
    </w:p>
    <w:p>
      <w:r>
        <w:rPr>
          <w:b/>
        </w:rPr>
        <w:t>E. 1.2</w:t>
      </w:r>
    </w:p>
    <w:p>
      <w:r>
        <w:t>Aux termes de l'art. 271 let. a CPC, les mesures protectrices de l'union con- 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w:t>
      </w:r>
    </w:p>
    <w:p>
      <w:r>
        <w:t>- 9/14 -</w:t>
      </w:r>
    </w:p>
    <w:p>
      <w:r>
        <w:t>C/16474/2013 La Cour revoit la cause avec un plein pouvoir d'examen en fait et en droit. Dans la mesure où le litige concerne des enfants mineurs, les maximes d'office et inqui- sitoire illimitée sont applicables (art. 296 al. 1 et 3 CPC). Bien que les moyens de preuve ne soient pas restreints aux seuls titres, l'administration des moyens de preuve doit pouvoir intervenir immédiatement (art. 254 al. 2 let. c CPC).</w:t>
      </w:r>
    </w:p>
    <w:p>
      <w:r>
        <w:rPr>
          <w:b/>
        </w:rPr>
        <w:t>E. 1.3</w:t>
      </w:r>
    </w:p>
    <w:p>
      <w:r>
        <w:t>Les parties produisent des pièces nouvelles devant la Cour. Selon l'art. 317 al. 1 CPC, qui régit de manière complète et autonome l'admission d'allégations et d'offres de preuve nouvelles en appel, y compris dans les pro- cédures soumises à la maxime inquisitoire simple (ATF 138 III 625 consid. 2.2), de tels faits et moyens probatoires ne sont pris en considération que s'ils sont invo- 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 limitée n'ayant pas été tranchée à ce jour, la Cour de céans persistera à admettre tous les nova dans les procédures matrimoniales impliquant des enfants mineurs (ACJC/267/2014; ACJC/1180/2013; dans ce sens également TREZZINI, in Com- mentario al Codice di diritto processuale civile svizzero (CPC), COCCHI/TREZZINI/ BERNASCONI [éd.], 2011, p. 1394; TAPPY, Les voies de droit du nouveau Code de procédure civile, in JdT 2010 III p. 115 ss, 139). Partant, les faits nouveaux et pièces nouvelles invoqués en appel sont admis dans la mesure où ils sont susceptibles d'avoir un impact sur la contribution d'entretien due pour les enfants.</w:t>
      </w:r>
    </w:p>
    <w:p>
      <w:r>
        <w:rPr>
          <w:b/>
        </w:rPr>
        <w:t>E. 2</w:t>
      </w:r>
    </w:p>
    <w:p>
      <w:r>
        <w:t>L'appelant conteste le montant de la contribution d’entretien au motif qu'un re- venu hypothétique de 2'000 fr. aurait dû être retenu concernant l'intimée, auquel s'ajoute 600 fr. d'allocations familiales. Il n'y avait en outre pas lieu de tenir compte de primes d'assurance-maladie la concernant elle et les enfants puisqu'elles étaient déjà payées par lui. Il évalue ainsi les charges de l'intimée à 5'800 fr. et le déficit de son budget et de celui des enfants à 3'200 fr. Compte tenu de son salaire de 16'970 fr. et de ses charges, son disponible s'élève à 10'450 fr. En application de la méthode du minimum vital, la contribution d'entretien devait être fixée à 6'300 fr., soit 2'700 fr. pour son épouse et 1'800 fr. pour chacun des en- fants.</w:t>
      </w:r>
    </w:p>
    <w:p>
      <w:r>
        <w:rPr>
          <w:b/>
        </w:rPr>
        <w:t>E. 2.1.1</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w:t>
      </w:r>
    </w:p>
    <w:p>
      <w:r>
        <w:t>- 10/14 -</w:t>
      </w:r>
    </w:p>
    <w:p>
      <w:r>
        <w:t>C/16474/2013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 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arrêts du Tribunal fédéral 5A_228/2012 du 11 juin 2012; 5A_807/2011 du 16 avril 2012 consid. 6.3.1;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 vail ainsi libérée et reprenne ou étende son activité lucrative. L'absence de pers- pectives de réconciliation ne justifie en revanche pas à elle seule la suppression de toute contribution d'entretien (ATF 137 III 385 consid. 3.1, précisant l'arrêt paru aux ATF 128 III 65).</w:t>
      </w:r>
    </w:p>
    <w:p>
      <w:r>
        <w:rPr>
          <w:b/>
        </w:rPr>
        <w:t>E. 2.1.2</w:t>
      </w:r>
    </w:p>
    <w:p>
      <w:r>
        <w:t>Le législateur n'a pas arrêté de mode de calcul. L'une des méthodes préco- 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 neurs communs (ATF 126 III 8 consid. 3c) ou que des circonstances importantes ne justifient de s'en écarter (ATF 119 II 314 consid. 4b/bb). En cas de situation financière favorable, il convient plutôt de se fonder sur les dé- penses indispensables au maintien des conditions de vie antérieures (arrêts du Tribunal fédéral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du Tribunal fédéral 5A_147/2012 du 26 avril 2012 consid. 4.1.1 et les références).</w:t>
      </w:r>
    </w:p>
    <w:p>
      <w:r>
        <w:rPr>
          <w:b/>
        </w:rPr>
        <w:t>E. 2.1.3</w:t>
      </w:r>
    </w:p>
    <w:p>
      <w:r>
        <w:t>La capacité de pourvoir soi-même à son entretien est susceptible d'être li- mitée totalement ou partiellement par la charge que représente la garde des en- fants. En principe, on ne peut exiger d'un époux la prise ou la reprise d'une activité lucrative à un taux de 50% avant que le plus jeune des enfants n'ait atteint l'âge de 10 ans révolus, et de 100% avant qu'il n'ait atteint l'âge de 16 ans révolus</w:t>
      </w:r>
    </w:p>
    <w:p>
      <w:r>
        <w:t>- 11/14 -</w:t>
      </w:r>
    </w:p>
    <w:p>
      <w:r>
        <w:t>C/16474/2013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sont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5A_506/2014 du 23 octobre 2014 consid. 5.3; 5A_70/2013 du 11 juin 2013 consid. 5.1; 5A_6/2009 du 30 avril 2009 consid. 2.2) ou des capacités financières du couple. Le juge tient compte de ces lignes directrices dans l'exercice du large pouvoir d'appréciation qui est le sien (art. 4 CC; ATF 137 III 102 consid. 4.2.2.2; 134 III 577 consid. 4).</w:t>
      </w:r>
    </w:p>
    <w:p>
      <w:r>
        <w:rPr>
          <w:b/>
        </w:rPr>
        <w:t>E. 2.1.4</w:t>
      </w:r>
    </w:p>
    <w:p>
      <w:r>
        <w:t>A teneur de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5A_234/2011 du 21 novembre 2011 consid. 4.4.1 et 5A_220/2010 du 20 août 2010 consid. 2.1). La loi ne prescrit pas toutefois de méthode de calcul particulière pour arrêter la con- 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Dans le cadre de la détermination des charges concrètes des enfants, la part de loyer à leur charge peut être estimée entre 20 à 30% du loyer raisonnable pour un, respectivement deux enfants (BASTONS-BULETTI, L'entretien après divorce, Méthodes de calcul, montant, durée et limites, in SJ 2007 p. 77 ss,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w:t>
      </w:r>
    </w:p>
    <w:p>
      <w:r>
        <w:rPr>
          <w:b/>
        </w:rPr>
        <w:t>E. 2.2.1</w:t>
      </w:r>
    </w:p>
    <w:p>
      <w:r>
        <w:t>En l'espèce, les revenus mensuels de l'appelant, d'un montant non contesté de 17'667 USD, peuvent être évalués à 16'400 fr., à tout le moins, au taux de change de 0,92 prévalant en août 2013, comme l'a retenu le Tribunal (jugement ch. 19), y compris après l'appréciation du franc suisse par rapport au dollar amé- ricain, dont le cours, après avoir fortement baissé à mi-janvier 2015, est remonté.</w:t>
      </w:r>
    </w:p>
    <w:p>
      <w:r>
        <w:t>- 12/14 -</w:t>
      </w:r>
    </w:p>
    <w:p>
      <w:r>
        <w:t>C/16474/2013 L'appelant considère que ses charges doivent être estimées à 6'542 fr., comprenant notamment un montant de 200 fr. de frais de transport, lequel sera pris en compte dans la mesure où il est vraisemblable qu'il doit assumer de tels frais. En tenant compte de ces chiffres, son disponible peut être estimé à 9'860 fr. environ.</w:t>
      </w:r>
    </w:p>
    <w:p>
      <w:r>
        <w:rPr>
          <w:b/>
        </w:rPr>
        <w:t>E. 2.2.2</w:t>
      </w:r>
    </w:p>
    <w:p>
      <w:r>
        <w:t>L'appelant soutient que l'intimée devrait se voir imputer un revenu hypo- thétique de 2'000 fr. Le cadet des enfants a six ans et demi, de sorte qu’il ne peut en principe pas être imposé à l'intimée de prendre un emploi, quand bien même les enfants sont en âge de scolarité. Elle n'exerçait pas d'emploi régulier durant la vie commune et sa dis- ponibilité a constitué un critère dans l'attribution de la garde (cf. jugement du 24 novembre 2014, consid. E/b p. 11). Dès lors, conformément à la jurisprudence, aucun revenu hypothétique ne sera retenu, en l'état, à la charge de l'intimée. Quant à ses charges, elles peuvent être évaluées à 4'087 fr. (loyer : 1'750 fr. [70% de 2'500 fr.]; assurance-maladie : 367 fr.; frais de transports : 70 fr.; impôts : 550 fr. (estimation); minimum vital : 1'350 fr.). L'intimée supporte actuellement une charge locative de 2'500 fr., de sorte qu'un montant supérieur ne sera pas pris en compte à ce stade, seules les charges effecti- ves, dont le débirentier s'acquitte réellement, devant être être prises en compte (ATF 121 III 20 consid. 3a et les arrêts cités). Il sera par ailleurs tenu compte d'un montant à titre d'assurance-maladie, l'intimée ayant rendu vraisemblable qu'elle avait été tenue de s'affilier auprès d'une caisse suisse agréée par l'Office fédéral de la santé publique. Le budget de l'intimée présente donc un déficit qui peut être évalué à 4'100 fr.</w:t>
      </w:r>
    </w:p>
    <w:p>
      <w:r>
        <w:rPr>
          <w:b/>
        </w:rPr>
        <w:t>E. 2.2.3</w:t>
      </w:r>
    </w:p>
    <w:p>
      <w:r>
        <w:t>Les charges des deux enfants peuvent être évaluées, quant à elles, à 2'371 fr. 50 au total (loyer : 750 fr. [30% de 2'500 fr.]; assurances-maladies : 102 fr. et 90 fr.; restaurant scolaire : 200 fr.; loisirs : 139 fr. 50; transports : 90 fr.; montant de base OP : 1'000 fr.). Compte tenu des allocations familiales de 600 fr. dont il y a lieu de tenir compte, le budget des enfants présente un déficit évalué à 1'770 fr.</w:t>
      </w:r>
    </w:p>
    <w:p>
      <w:r>
        <w:rPr>
          <w:b/>
        </w:rPr>
        <w:t>E. 2.2.4</w:t>
      </w:r>
    </w:p>
    <w:p>
      <w:r>
        <w:t>Après avoir acquitté ses charges et comblé le déficit de l'intimée et des en- fants de 5'870 fr. (4'100 fr. + 1'770 fr.), l'appelant dispose encore d'un montant de 3'988 fr. (16'400 fr. - 6'542 fr. - 5'870 fr.). Dès lors, en application de la méthode du minimum vital avec répartition de ce solde, appliquée par l'appelant - étant rap- pelé que la contribution d'entretien peut difficilement être calculée en l'espèce en fonction des dépenses nécessaires à l'intimée et aux enfants pour leur permettre de</w:t>
      </w:r>
    </w:p>
    <w:p>
      <w:r>
        <w:t>- 13/14 -</w:t>
      </w:r>
    </w:p>
    <w:p>
      <w:r>
        <w:t>C/16474/2013 maintenir, en Suisse, le même train de vie que celui qu'ils avaient en T______ -, le montant de la contribution d'entretien de 8'000 fr. apparaît équitable. Il laisse un montant disponible de 2'130 fr. pour la mère et les enfants, après paiement de leurs charges respectives (8'000 fr. - 5'870 fr.) et de 1'858 fr. à l'appelant (16'400 fr. - 6'542 fr. - 8'000 fr.). Un tel montant permet à l'intimée et aux enfants de bénéficier d'un train de vie su- périeur à celui limité au minimum vital de base du droit des poursuites et de se rapprocher de celui dont ils bénéficiaient lorsqu'ils étaient établis en T______, auquel ils peuvent prétendre dans une certaine mesure, mais pas intégralement, compte tenu de la différence de coût de la vie et du choix de l'intimée de s'établir en Suisse. L'appelant n'a pris en compte aucun montant à titre de minimum vital dans le cal- cul de ses charges. Si un montant de 600 fr. est retenu à ce titre, au lieu de 1'200 fr., pour tenir compte du coût de la vie en T______ moins élevé qu'en Suisse (le niveau des prix est, par exemple, plus de la moitié inférieur à Nairobi, au Kenya, pays voisin de la T______, qu'à Genève selon l'étude "prix et salaires" de l'UBS, disponible sur le site internet de cette dernière, qui ne mentionne pas d'autres villes dans cette partie de l'Afrique), il reste encore un montant disponible à l'appelant de 1'250 fr., qui reste équitable en comparaison avec celui dont dis- posent l'intimée et les enfants, compte tenu de la différence des prix entre la Suisse et la T______, où l'appelant vit. Le chiffre 4 du dispositif du jugement attaqué sera dès lors confirmé en tant qu'il fixe à 8'000 fr. le montant de la contribution d'entretien due par l'appelant. Ledit montant sera toutefois réparti différemment, à savoir 5'000 fr. pour l'intimée et 1'500 fr. pour chaque enfant, compte tenu de leurs charges respectives et donc, de leurs besoins.</w:t>
      </w:r>
    </w:p>
    <w:p>
      <w:r>
        <w:rPr>
          <w:b/>
        </w:rPr>
        <w:t>E. 3</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800 fr. (art. 30 et 35 du Règlement fixant le tarif des frais en matière civile, RTFMC - E 1 05.10) et mis à la charge de l'appelant, qui succombe. Ils seront compensés avec l'avance fournie par celui-ci, qui reste acquise à l'Etat. Compte tenu de la nature familiale du litige, chacune des parties supportera ses propres dépens d'appel (art. 107 al. 1 let. c CPC). * * * * *</w:t>
      </w:r>
    </w:p>
    <w:p>
      <w:r>
        <w:t>- 14/14 -</w:t>
      </w:r>
    </w:p>
    <w:p>
      <w:r>
        <w:t>C/16474/2013 PAR CES MOTIFS, La Chambre civile : A la forme : Déclare recevable l'appel interjeté par A______ contre le chiffre 4 du dispositif du jugement JTPI/14827/2014 rendu le 24 novembre 2014 par le Tribunal de première instance dans la cause C/16474/2013-21. Au fond : Confirme le chiffre 4 du dispositif du jugement entrepris, sous réserve du fait que le montant de 8'000 fr. est réparti à hauteur de 5'000 fr. pour B______ et de 1'500 fr. pour chacun des deux enfants C______ et D______. Sur les frais : Arrête les frais judiciaires d'appel à 800 fr., les met à la charge de A______ et dit qu'ils sont compensés avec l'avance fournie,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