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ACJC/763/2024 vom 14. Juni 2024</w:t>
      </w:r>
    </w:p>
    <w:p>
      <w:r>
        <w:t>GE Cour de justice, 2024-06-14, FR</w:t>
      </w:r>
    </w:p>
    <w:p>
      <w:r>
        <w:rPr>
          <w:b/>
        </w:rPr>
        <w:t xml:space="preserve">Quelle: </w:t>
      </w:r>
      <w:r>
        <w:t>https://mcp.opencaselaw.ch/entscheid/ge_gerichte_ACJC_763_2024</w:t>
      </w:r>
    </w:p>
    <w:p>
      <w:r>
        <w:t>FR: GE_GERICHTE ACJC/763/2024 du 14 juin 2024</w:t>
      </w:r>
    </w:p>
    <w:p>
      <w:r>
        <w:t>IT: GE_GERICHTE ACJC/763/2024 del 14 giugno 2024</w:t>
      </w:r>
    </w:p>
    <w:p>
      <w:pPr>
        <w:pStyle w:val="Heading2"/>
      </w:pPr>
      <w:r>
        <w:t>Erwägungen</w:t>
      </w:r>
    </w:p>
    <w:p>
      <w:r>
        <w:rPr>
          <w:b/>
        </w:rPr>
        <w:t>E. 1</w:t>
      </w:r>
    </w:p>
    <w:p>
      <w:r>
        <w:t>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revanche, seule la voie du recours est ouverte contre les décisions du tribunal de l'exécution (art. 309 let. a et 319 let. a CPC). Si un appel est interjeté en lieu et place d'un recours, ou vice-versa, et si les conditions de l'acte qui aurait dû être formé sont remplies, une conversion de l'acte déposé en acte recevable est en principe possible s'il n'en résulte aucune atteinte aux droits de la partie adverse (JEANDIN, in CR CPC, 2019, n. 7a ad art. 308-334 CPC; REETZ/THEILER, in Kommentar zur Schweizerischen Zivilprozessordnung [ZPO], 2016, n. 26 et 51 ad art. 308-318 CPC). 1.1.2 En l'espèce, l'action tend au prononcé de l'expulsion des intimés de l'immeuble revendiqué, avec mesures d'exécution directe. Compte tenu de la valeur vénale de cet immeuble, respectivement de la valeur que son usage représente pendant la période nécessaire à l'expulsion de ses occupants par la force publique (cf ATF 144 III 346 consid. 1.2.1), la valeur litigieuse est supérieure à 10'000 fr. La voie de l'appel est donc ouverte sur la question du prononcé de l'évacuation. L'appel, interjeté dans les formes et délais prévus par la loi, est recevable (art. 311 al. 1 et 2, 314 al. 1 CPC). En tant qu'il porte sur les mesures d'exécution directe requises devant le Tribunal, l'appel sera converti en recours, dès lors qu'il respecte les exigences de forme et le délai prescrits par la loi (art. 321 al. 1 et 2 CPC).</w:t>
      </w:r>
    </w:p>
    <w:p>
      <w:r>
        <w:rPr>
          <w:b/>
        </w:rPr>
        <w:t>E. 1.2</w:t>
      </w:r>
    </w:p>
    <w:p>
      <w:r>
        <w:t>L'appel peut être formé pour violation du droit (art. 310 let. a CPC) et constatation inexacte des faits (art. 310 let. b CPC). L'instance d'appel dispose ainsi d'un plein pouvoir d'examen de la cause en fait et en droit. Elle contrôle librement l'appréciation des preuves effectuée par le juge de première instance (art. 157 CPC en relation avec l'art. 310 let. b CPC) et vérifie si celui-ci pouvait admettre les faits qu'il a retenus (ATF 138 III 374 consid. 4.3.1). Le recours peut être formé pour violation du droit (art. 320 let. a CPC) et constatation manifestement inexacte des faits (art. 320 let. b CPC).</w:t>
      </w:r>
    </w:p>
    <w:p>
      <w:r>
        <w:rPr>
          <w:b/>
        </w:rPr>
        <w:t>E. 1.3</w:t>
      </w:r>
    </w:p>
    <w:p>
      <w:r>
        <w:t>La procédure de protection dans les cas clairs est soumise à la procédure sommaire des art. 248 ss CPC, plus particulièrement aux art. 252 à 256 CPC. La maxime des débats est applicable (art. 55 al. 1 CPC), de même que le principe de disposition (art. 58 al. 1 CPC).</w:t>
      </w:r>
    </w:p>
    <w:p>
      <w:r>
        <w:rPr>
          <w:b/>
        </w:rPr>
        <w:t>E. 1.4</w:t>
      </w:r>
    </w:p>
    <w:p>
      <w:r>
        <w:t>Les parties ont allégué des faits nouveaux et produit des pièces nouvelles devant la Cour.</w:t>
      </w:r>
    </w:p>
    <w:p>
      <w:r>
        <w:t>- 7/13 -</w:t>
      </w:r>
    </w:p>
    <w:p>
      <w:r>
        <w:t>C/11873/2023</w:t>
      </w:r>
    </w:p>
    <w:p>
      <w:r>
        <w:rPr>
          <w:b/>
        </w:rPr>
        <w:t>E. 1.4.1</w:t>
      </w:r>
    </w:p>
    <w:p>
      <w:r>
        <w:t>Lorsque la valeur litigieuse de 10'000 fr. est atteinte et que la décision rendue en procédure sommaire de l'art. 257 CPC peut faire l'objet d'un appel au sens des art. 308 ss CPC, les faits et moyens de preuve nouveaux ne sont recevables qu'aux conditions de l'art. 317 al. 1 CPC (arrêt du Tribunal fédéral 4A_470/2022 du</w:t>
      </w:r>
    </w:p>
    <w:p>
      <w:r>
        <w:rPr>
          <w:b/>
        </w:rPr>
        <w:t>E. 1.4.2</w:t>
      </w:r>
    </w:p>
    <w:p>
      <w:r>
        <w:t>En l'occurrence, les allégués et moyens de preuve nouveaux dont se prévalent les parties se rapportent à des faits survenus avant le 1er novembre 2023, date à laquelle le Tribunal a gardé la cause à juger, sans que celles-ci explicitent en quoi elles auraient été empêchées de s'en prévaloir en première instance. Ces nova sont donc irrecevables. 2. L'appelant reproche au Tribunal d'avoir déclaré sa requête en cas clair irrecevable. Il soutient que les moyens de défense soulevés par les intimés devant le premier juge étaient manifestement mal fondés et, partant, ne pouvaient pas faire obstacle au prononcé de leur évacuation, avec mesures d'exécution directe.</w:t>
      </w:r>
    </w:p>
    <w:p>
      <w:r>
        <w:t>2.1.1 La procédure sommaire prévue par l'art. 257 CPC est une alternative aux procédures ordinaires et simplifiées normalement disponibles, destinée à offrir une voie particulièrement simple et rapide à la partie demanderesse, dans les cas dits</w:t>
      </w:r>
    </w:p>
    <w:p>
      <w:r>
        <w:t>- 8/13 -</w:t>
      </w:r>
    </w:p>
    <w:p>
      <w:r>
        <w:t>C/11873/2023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il ne peut alors que prononcer l'irrecevabilité de la requête; il est en effet exclu que la procédure puisse aboutir au rejet de la prétention du demandeur avec autorité de la chose jugée (ATF 144 III 462 consid. 3.1; 140 III 315 consid. 5; arrêt du Tribunal fédéral 4A_574/2022 du 23 mai 2023 consid. 3.2.1).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pas être écartées immédiatement et qui sont de nature à ébranler la conviction du juge, la procédure des cas clairs est irrecevable. A l'inverse, le cas clair doit être retenu lorsque sont émises des objections manifestement mal fondées ou inconsistantes sur lesquelles il peut être statué immédiatement (ATF 138 III 620 consid. 5.1.1; arrêt du Tribunal fédéral 5A_835/2023 du 20 février 2024 consid. et les arrêts cités).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(ATF 144 III 462 consid. 3.1; arrêt du Tribunal fédéral 4A_422/2020 du 2 novembre 2020 consid. 4.1).</w:t>
      </w:r>
    </w:p>
    <w:p>
      <w:r>
        <w:t>2.1.2 Selon l'art. 641 CC, le propriétaire d'une chose a le droit d'en disposer librement, dans les limites de la loi (al. 1); il peut la revendiquer contre quiconque la détient sans droit et repousser toute usurpation (al. 2). L'action en revendication permet au propriétaire de réclamer la restitution du bien qui fait l'objet de son droit. L'action est subordonnée à la réalisation de deux conditions matérielles, à savoir que le demandeur est propriétaire de la chose et le défendeur la détient sans droit. Lorsque ces conditions sont réunies, le demandeur peut obtenir que le défendeur soit condamné à lui restituer la chose (FOËX, in CR CC II, 2016, n. 28, 31 et 35 ad art. 641 CC).</w:t>
      </w:r>
    </w:p>
    <w:p>
      <w:r>
        <w:t>2.1.3 Selon l'art. 229 al. 1 CO, le contrat de vente en cas d'enchères forcées est conclu par l'adjudication que le préposé aux enchères fait de la chose mise en vente. Selon l'art. 230 CO, les enchères dont le résultat a été altéré par des manœuvres illicites ou contraires aux mœurs peuvent être attaquées, dans les dix jours, par tout intéressé (al. 1). Dans les enchères forcées, l'action est portée devant l'autorité de</w:t>
      </w:r>
    </w:p>
    <w:p>
      <w:r>
        <w:t>- 9/13 -</w:t>
      </w:r>
    </w:p>
    <w:p>
      <w:r>
        <w:t>C/11873/2023 surveillance en matière de poursuites et de faillite; dans les autres cas, devant le juge (al. 2). Aux termes de l'art. 656 CC, l'inscription au registre foncier est nécessaire pour l'acquisition de la propriété foncière (al. 1). Celui qui acquiert un immeuble par occupation, succession, expropriation, exécution forcée ou jugement en devient toutefois propriétaire avant l'inscription, mais il n'en peut disposer dans le registre foncier qu'après que cette formalité a été remplie (al. 2). 2.1.4 Selon l'art. 132a al. 1 LP, applicable à la réalisation des immeubles (art. 143a et 156 al. 1 LP), la réalisation ne peut être attaquée que par le biais d'une plainte contre l'adjudication ou l'acte de gré à gré. Cette compétence exclusive de l'autorité de surveillance vaut quels que soient les griefs invoqués, qu'ils relèvent du droit de la poursuite ou du droit matériel. Le délai de plainte de dix jours prévu par l'art. 17 al. 2 LP court dès que le plaignant a eu connaissance de l'acte attaqué et pouvait connaître le motif de la contestation (art. 132a al. 2 LP). Le droit de plainte s'éteint un an après la réalisation (art. 132a al. 3 LP) (arrêt du Tribunal fédéral 5A_464/2023 du 31 août 2023 consid. 3.1.1 et les références citées). La voie de la plainte aux autorités de surveillance n'est pas seulement ouverte contre les irrégularités commises lors des opérations de la réalisation forcée elle-même, mais aussi contre celles commises dans la procédure préparatoire, telle que définie par les art. 25 ss ORFI. Il peut aussi concerner des manœuvres illicites ou contraires aux mœurs altérant le résultat des enchères (art. 230 al. 1 CO) (Ibidem). Conformément à l'art. 134 al. 1 LP, applicable aux poursuites en réalisation de gage par renvoi de l'art. 156 al. 1 LP, l'office des poursuites arrête les conditions des enchères immobilières d'après l'usage des lieux et de la manière la plus avantageuse. Les conditions de vente, y compris l'état des charges, constituent le fondement de toute vente aux enchères d'immeubles; elles en déterminent les formalités, notamment les modalités de l'adjudication. Les conditions de vente ne sont pas notifiées selon l'art. 34 al. 1 LP - ni même publiées - mais déposées au moins dix jours avant les enchères au bureau de l'office où chacun peut en prendre connaissance (art. 134 al. 2 LP). La date du dépôt des conditions de vente doit être communiquée; elle figure dans la publication des enchères (art. 138 al. 2 ch. 2 LP, applicable par renvoi de l'art. 156 LP) (arrêt du Tribunal fédéral 5A_464/2023 précité consid. 3.1.2 et les références citées).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Selon la jurisprudence, le délai de plainte court du jour du dépôt des conditions de vente au bureau de l'office des poursuites. Le premier jour compté est ainsi le lendemain du jour du dépôt (art. 31 LP en relation avec l'art. 142 al. 1 CPC) (Ibidem).</w:t>
      </w:r>
    </w:p>
    <w:p>
      <w:r>
        <w:t>- 10/13 -</w:t>
      </w:r>
    </w:p>
    <w:p>
      <w:r>
        <w:t>C/11873/2023 Selon l'art. 66 al. 1 ORFI, le préposé est tenu de requérir d'office l'inscription au registre foncier du transfert de propriété résultant de l'adjudication, aussitôt qu'il est constant que l'adjudication ne pourra plus faire l'objet d'une plainte ou que la plainte portée a été définitivement écartée. 2.1.5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144 II 473 consid. 4.1; 135 III 145 consid. 6.1). L'art. 12 LLCA prévoit notamment, à sa lettre c, que l'avocat évite tout conflit entre les intérêts de son client et ceux des personnes avec lesquelles il est en relation sur le plan professionnel ou privé. L'art. 17 LLCA prévoit des mesures disciplinaires en cas de violation par l'avocat des règles professionnelles visées à l'art. 12 LLCA. Chaque canton désigne une autorité chargée de la surveillance des avocats qui pratiquent la représentation en justice sur son territoire (art. 14 LLCA). A Genève, la Commission du barreau exerce les compétences dévolues à l'autorité de surveillance des avocats par la LLCA (art. 14 LPAv).</w:t>
      </w:r>
    </w:p>
    <w:p>
      <w:r>
        <w:t>2.2 En l'espèce, il est constant que l'appelant a bénéficié d'une adjudication par l'Office portant sur le bien immobilier en cause, à la suite de laquelle il en est devenu propriétaire, qu'il est inscrit au Registre foncier en cette qualité depuis le mois de juin 2023 et que les intimés se sont maintenus dans les locaux au-delà de cette date. Devant le Tribunal, ceux-ci ont formulé des objections en lien avec la vente aux enchères du 13 décembre 2022, faisant valoir que cette vente serait entachée de plusieurs irrégularités (prix d'adjudication inférieur à l'estimation de l'Office, non- communication des conditions exactes de la vente, conflit d'intérêts lié à la personne de l'adjudicataire, etc.) et qu'ils se seraient adressés à l'Office, à une date non spécifiée, pour "s'opposer" à la vente de l'appartement, en réponse à une lettre officielle datée du 28 août 2023 - laquelle n'a pas été versée au dossier.</w:t>
      </w:r>
    </w:p>
    <w:p>
      <w:r>
        <w:t>Contrairement à ce qu'a retenu le Tribunal, ces d'objections sont manifestement mal fondées et peuvent être immédiatement écartées. En premier lieu, les intimés n'ont pas établi ni même rendu vraisemblable qu'ils se seraient effectivement adressés à l'Office en août ou septembre 2023 pour contester l'adjudication et/ou les conditions de vente, étant précisé que les irrégularités susmentionnées devaient, le cas échéant, être soulevées dans le cadre d'une plainte formée en temps utile devant l'autorité de surveillance en matière de poursuites et faillites (art. 17 LP). En second lieu, il ressort sans équivoque des pièces produites que les intimés - qui avaient accumulé d'importantes dettes (environ 3'500'000 fr. à la date de la vente) et faisaient l'objet de plusieurs poursuites en réalisation de gage - n'ignoraient pas, à tout le moins depuis avril 2019, que l'appartement allait être vendu aux enchères</w:t>
      </w:r>
    </w:p>
    <w:p>
      <w:r>
        <w:t>- 11/13 -</w:t>
      </w:r>
    </w:p>
    <w:p>
      <w:r>
        <w:t>C/11873/2023 dans un avenir plus ou moins proche. Il est par ailleurs établi que l'Office a dûment communiqué l'état des charges et les conditions de vente aux intimés, en précisant la date de la vente aux enchères et les voies de droit à disposition, par plis recommandés que les intimés ont retirés au guichet postal le 21 novembre 2022. Il est en outre constant que l'appelant a personnellement informé les intimés de l'adjudication le 13 décembre 2022, soit le jour même de la vente. Il est ainsi manifeste que le délai de plainte de l'art. 17 al. 2 LP était largement échu en août ou septembre 2023, date à laquelle les intimés allèguent - sans aucunement le démontrer - s'être adressés à l'Office pour s'opposer à la vente de l'appartement. Or, faute d'avoir remis en cause l'adjudication et/ou les conditions de vente par la voie de la plainte en temps utile, les intimés sont désormais forclos à se prévaloir d'éventuelles irrégularités survenues lors de vente aux enchères du 13 décembre 2022. Il suit de là que l'adjudication est entrée en force et que l'appelant a été valablement inscrit en qualité de propriétaire du bien immobilier au Registre foncier. Au surplus, les intimés n'allèguent pas - et a fortiori ne démontrent pas - qu'ils disposeraient d'un titre juridique les autorisant à demeurer dans l'appartement. L'appelant est donc fondé réclamer la restitution du bien qui fait l'objet de son droit, de sorte que l'évacuation des intimés doit être prononcée. Ceux-ci n'ayant, à juste titre, pas sollicité l'octroi d'un sursis à l'évacuation, celle-ci sera ordonnée avec les mesures d'exécution directe requises par l'appelant. Le jugement attaqué sera ainsi annulé, et il sera statué à nouveau dans le sens de ce qui précède (art. 318 al. 1 let. b CPC). 3. 3.1 Les frais judiciaires de première instance, arrêtés à 2'400 fr. (art. 13 et 26 RTFMC), seront mis à la charge des intimés, qui succombent (art. 106 al. 1 CPC), et compensés avec l'avance du même montant versée par l'appelant, acquise à l'Etat de Genève (art. 111 al. 1 CPC).</w:t>
      </w:r>
    </w:p>
    <w:p>
      <w:r>
        <w:t>Les intimés verseront à l'appelant 2'400 fr., à titre de remboursement des frais judiciaires susvisés, et 3'000 fr., à titre de dépens de première instance, débours et TVA compris (art. 85 et 88 CPC; art. 23, 25 et 26 LaCC).</w:t>
      </w:r>
    </w:p>
    <w:p>
      <w:r>
        <w:t>3.2 Les frais judiciaires d'appel et de recours, arrêtés à 2'400 fr. (art. 13, 26, 35 et 38 RTFMC), seront mis à la charge des intimés, qui succombent (art. 106 al. 1 CPC). Vu que ceux-ci plaident au bénéfice de l'assistance judiciaire devant la Cour, ces frais seront provisoirement laissés à la charge de l'Etat de Genève qui pourra en solliciter le remboursement selon l'art. 123 CPC. L'appelant se verra restituer son avance de frais en 2'400 fr. Les intimés verseront en outre à l'appelant 1'500 fr., débours et TVA compris, à titre de dépens d'appel et de recours (art. 85, 88 et 90 RTFMC; art. 23, 25 et 26 LaCC). * * * * *</w:t>
      </w:r>
    </w:p>
    <w:p>
      <w:r>
        <w:t>- 12/13 -</w:t>
      </w:r>
    </w:p>
    <w:p>
      <w:r>
        <w:t>C/11873/2023</w:t>
      </w:r>
    </w:p>
    <w:p>
      <w:r>
        <w:t>PAR CES MOTIFS, La Chambre civile :</w:t>
      </w:r>
    </w:p>
    <w:p>
      <w:r>
        <w:t>A la forme : Déclare recevables l'appel et le recours interjetés le 24 janvier 2024 par A______ contre le jugement JTPI/543/2024 rendu le 12 janvier 2024 par le Tribunal de première instance dans la cause C/11873/2023. Au fond : Annule ce jugement et, cela fait : Condamne B______ et C______ à évacuer immédiatement de leur personne, de leurs biens, ainsi que de tout tiers faisant ménage commun avec eux, l'appartement d'environ 176.4 m2 et la cave y afférente, sis no. ______ chemin 1______, [code postal] E______, bâtiment n° 2______, feuillet n° 3______ de la parcelle n° 4______ de la commune de E______, et à restituer les clés à A______ dès l'entrée en force de la présente décision. Autorise A______ à requérir l'évacuation de B______ et C______ par la force publique dès l'entrée en force de la présente décision. Arrête les frais judiciaires de première instance à 2'400 fr., les met à la charge de B______ et C______, solidairement entre eux, et les compense avec l'avance fournie, acquise à l'Etat de Genève. Condamne B______ et C______, solidairement entre eux, à verser à A______ 2'400 fr., à titre de remboursement des frais judiciaires de première instance, et 3'000 fr., à titre de dépens de première instance. Déboute les parties de toutes autres conclusions. Sur les frais : Arrête les frais judiciaires d'appel et de recours à 2'400 fr., les met à la charge de B______ et C______, solidairement entre eux. Dit que ces frais sont laissés provisoirement à la charge de l'Etat de Genève.</w:t>
      </w:r>
    </w:p>
    <w:p>
      <w:r>
        <w:t>- 13/13 -</w:t>
      </w:r>
    </w:p>
    <w:p>
      <w:r>
        <w:t>C/11873/2023 Invite les Services financiers du pouvoir judiciaire à restituer à A______ l'avance versée en 2'400 fr. Condamne B______ et C______, solidairement entre eux, à payer 1'500 fr. à A______ à titre de dépens d'appel et de recours. Siégeant : Monsieur Laurent RIEBEN, président; Madame Fabienne GEISINGER-MARIETHOZ, Madame Nathalie RAPP, juges; Madame Marie-Pierre GROSJEAN, greffière.</w:t>
      </w:r>
    </w:p>
    <w:p>
      <w:r>
        <w:t>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4</w:t>
      </w:r>
    </w:p>
    <w:p>
      <w:r>
        <w:t>janvier 2023 consid. 4.1 et les références citées). Les nova improprement dits (pseudo nova) - à savoir les faits et moyens de preuves qui étaient déjà survenus à la fin de l'audience des débats principaux de première instance - ne sont recevables qu'à deux conditions : (1) la partie qui s'en prévaut ne pouvait les invoquer avant, malgré sa diligence, et (2) elle les présente sans retard. Ainsi, ne sont pas recevables les contestations et objections que la partie intimée soulève pour la première fois en instance d'appel, comme par exemple - s'agissant d'une action en expulsion dirigée contre un locataire ayant accumulé du retard dans le paiement du loyer -, le fait que celui-ci a payé l'arriéré dans le délai de sommation de 30 jours (art. 257 d al. 1 CO) ou qu'il a obtenu du bailleur un sursis au paiement. La partie intimée doit invoquer ces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ou qu'en procédure sommaire de protection dans les cas clairs soumise à la maxime des débats. Tel est le cas de l'extinction de la dette ou de la compensation, faits destructeurs. Le fait que ces moyens de défense reposent sur des faits notoires ne dispense pas la partie intimée de les invoquer devant le premier juge (Ibidem.).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 devant le premier juge. En revanche, cette interdiction ne saurait concerner la partie intimée, qui n'a pas introduit la requête en cas clair. L'art. 317 al. 1 CPC s'applique donc pleinement à celle-ci (Ibidem).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