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ACJC/759/2022 vom 22. November 2021</w:t>
      </w:r>
    </w:p>
    <w:p>
      <w:r>
        <w:t>GE Cour de justice, 2021-11-22, FR</w:t>
      </w:r>
    </w:p>
    <w:p>
      <w:r>
        <w:rPr>
          <w:b/>
        </w:rPr>
        <w:t xml:space="preserve">Quelle: </w:t>
      </w:r>
      <w:r>
        <w:t>https://mcp.opencaselaw.ch/entscheid/ge_gerichte_ACJC_759_2022</w:t>
      </w:r>
    </w:p>
    <w:p>
      <w:r>
        <w:t>FR: GE_GERICHTE ACJC/759/2022 du 22 novembre 2021</w:t>
      </w:r>
    </w:p>
    <w:p>
      <w:r>
        <w:t>IT: GE_GERICHTE ACJC/759/2022 del 22 novembre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En l'espèce, compte tenu du montant des contributions d'entretien contestées par l'appelant, la valeur litigieuse, calculée conformément à l'art. 92 al. 2 CPC, dépasse la somme de 10'000 fr., de sorte que la voie de l'appel est ouverte. Les jugements de mesures protectrices étant régis par la procédure sommaire selon l'art. 271 CPC, le délai d'introduction de l'appel est de 10 jours (art. 314 al. 1 CPC). Le délai d'appel, qui arrivait à échéance le dimanche 5 décembre 2021, ayant été prolongé au 6 décembre 2021 (art. 142 al. 3 CPC), l'appel a été formé en temps utile et selon la forme prescrite par la loi (art. 130 al. 1 et 311 al. 1 CPC), il est dès lors recevable. L'intimée ayant conclu, en appel, au versement de dépens pour les deux instances à hauteur de 85'000 fr., la question de l'existence d'un appel joint se pose. Elle peut toutefois demeurer indécise compte tenu de la teneur de l'art. 318 al. 3 CPC selon lequel, si l'instance d'appel statue à nouveau, elle se prononce sur les frais de la première instance, lesquels comprennent également les dépens (art. 95 al. 1 let. b CPC).</w:t>
      </w:r>
    </w:p>
    <w:p>
      <w:r>
        <w:rPr>
          <w:b/>
        </w:rPr>
        <w:t>E. 1.2</w:t>
      </w:r>
    </w:p>
    <w:p>
      <w:r>
        <w:t>La Cour revoit la cause en fait et en droit avec un plein pouvoir d'examen (art. 310 CPC). La présente cause, qui porte sur la contribution à l'entretien de l'épouse, est régie par les maximes de disposition (art. 58 al. 1 CPC; ATF 128 III 411 consid. 3.2.2; arrêt du Tribunal fédéral 5A_693/2007 du 18 février 2008 consid. 6) et inquisitoire (art. 272 CPC; ATF 129 III 417 précité; arrêts du Tribunal fédéral</w:t>
      </w:r>
    </w:p>
    <w:p>
      <w:r>
        <w:t>- 15/25 -</w:t>
      </w:r>
    </w:p>
    <w:p>
      <w:r>
        <w:t>C/28815/2019 5A_386/2014 du 1er décembre 2014 consid. 6.2, 5A_757/2013 du 14 juillet 2014 consid. 2.1 et 5A_574/2013 du 9 octobre 2013).</w:t>
      </w:r>
    </w:p>
    <w:p>
      <w:r>
        <w:rPr>
          <w:b/>
        </w:rPr>
        <w:t>E. 2</w:t>
      </w:r>
    </w:p>
    <w:p>
      <w:r>
        <w:t>L'appelant a conclu à ce qu'un second échange d'écritures ainsi que des débats soient ordonnés, afin d'entendre un témoin. 2.1.1 En règle générale, la procédure d'appel est menée purement sur dossier, sans tenue d'une audience ni administration de preuves (ATF 142 III 413 consid. 2.2.1). Conformément à l'art. 316 CPC, l'instance d'appel a toutefois la faculté d'ordonner des débats ou statuer sur pièces (al. 1); elle peut ordonner un deuxième échange d'écritures (al. 2) et administrer les preuves (al. 3). Le droit d'être entendu (art. 29 al. 2 Cst.) comprend le droit, pour une partie à un procès, de prendre connaissance de toute argumentation présentée au tribunal et de se déterminer à son propos. Toute prise de position ou pièce nouvelle versée au dossier doit dès lors être communiquée aux parties pour leur permettre de décider si elles veulent ou non faire usage de leur faculté de se déterminer (ATF 143 V 71 consid. 4.1; 138 I 484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Conformément à l'art. 316 al. 3 CPC, l'instance d'appel peut librement décider d'administrer des preuves : elle peut ainsi faire administrer des preuves écartées par le juge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1er décembre 2015 consid. 2.2; 5A_86/2016 du 5 septembre 2016 consid. 3.1). 2.1.2 Les mesures protectrices de l'union conjugale sont ordonnées à la suite d'une procédure sommaire, avec administration restreinte des moyens de preuve et limitation du degré de la preuve à la simple vraisemblance. Il suffit donc que les</w:t>
      </w:r>
    </w:p>
    <w:p>
      <w:r>
        <w:t>- 16/25 -</w:t>
      </w:r>
    </w:p>
    <w:p>
      <w:r>
        <w:t>C/28815/2019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2.2.1 En l'espèce, la Cour considère que les faits de la cause, instruite selon la procédure sommaire, ne nécessitaient pas qu'il soit fait usage de l'art. 316 al. 2 CPC, raison pour laquelle elle n'a pas ordonné un second échange d'écritures. Il sera par ailleurs relevé que l'appelant, représenté par un avocat, ne pouvait ignorer qu'à réception de la réponse de l'intimée il était en droit, sans qu'un délai ne lui soit formellement imparti, de faire usage de son droit inconditionnel à la réplique. Il aurait dès lors pu produire spontanément des observations sur la réponse de l'intimée, s'il l'avait souhaité, avant que la cause ne soit gardée à juger le 2 février 2022, ce qu'il a toutefois renoncé à faire. Rien ne justifie pour le surplus de procéder à l'audition du témoin I______, employé de D______, dans la mesure où les déclarations qu'il serait susceptible de faire concernant le salaire imputé à l'appelant par le premier juge seraient sans pertinence pour l'issue de la cause.</w:t>
      </w:r>
    </w:p>
    <w:p>
      <w:r>
        <w:rPr>
          <w:b/>
        </w:rPr>
        <w:t>E. 3</w:t>
      </w:r>
    </w:p>
    <w:p>
      <w:r>
        <w:t>Les deux parties ont produit des pièces complémentaires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 3.2.2).</w:t>
      </w:r>
    </w:p>
    <w:p>
      <w:r>
        <w:rPr>
          <w:b/>
        </w:rPr>
        <w:t>E. 3.2</w:t>
      </w:r>
    </w:p>
    <w:p>
      <w:r>
        <w:t>En l'espèce, la pièce nouvelle n. 63 (courrier de la fiduciaire AQ______ à l'appelant, accompagné de la déclaration fiscale 2020), datée du 25 novembre 2021, est recevable, puisqu'elle est postérieure au prononcé du jugement attaqué, rien n'indiquant qu'elle aurait pu être obtenue avant.</w:t>
      </w:r>
    </w:p>
    <w:p>
      <w:r>
        <w:t>- 17/25 -</w:t>
      </w:r>
    </w:p>
    <w:p>
      <w:r>
        <w:t>C/28815/2019 Les pièces 64 et 65 ne sont pas nouvelles, puisqu'elles figuraient déjà dans celles que D______ a adressées au Tribunal, à sa demande. Quant à la pièce 66, soit un échange de courriels entre l'appelant et I______, vice- président de D______, intervenu entre le 2 et le 6 décembre 2021, elle est certes postérieure au prononcé du jugement attaqué. Cet échange fait toutefois référence au revenu annuel de 685'000 fr. figurant sur un document de la banque. Or, l'appelant s'est expliqué sur ledit montant lors de son audition par le Tribunal le 1er septembre 2021. Il aurait par conséquent pu, postérieurement à cette audience, s'adresser à D______ afin de solliciter toutes explications qu'il estimait utiles et les produire avant l'audience de plaidoiries du 6 octobre 2021. Au vu de ce qui précède, la pièce 66 de l'appelant est irrecevable, étant relevé qu'elle n'est, quoiqu'il en soit, pas pertinente pour l'issue du litige. L'intimée a également produit des pièces complémentaires devant la Cour; il ne s'agit toutefois pas de pièces nouvelles, puisqu'elles figuraient toutes dans le dossier de première instance.</w:t>
      </w:r>
    </w:p>
    <w:p>
      <w:r>
        <w:rPr>
          <w:b/>
        </w:rPr>
        <w:t>E. 4</w:t>
      </w:r>
    </w:p>
    <w:p>
      <w:r>
        <w:t>L'appelant ne conteste pas l'attribution à l'intimée de l'ancien appartement conjugal. Il conclut toutefois à la condamnation de sa partie adverse à s'acquitter régulièrement et en temps utile, dès le 1er août 2019, de l'intégralité des intérêts hypothécaires, des charges de propriété par étages et de tous les frais d'entretien portant sur ledit appartement et les parkings. Dans les considérants du jugement attaqué, le Tribunal a précisé que l'intimée avait l'obligation de prendre en charge l'ensemble des frais relatifs à l'ancien domicile conjugal et de ses dépendances, frais dont il était tenu compte dans la contribution d'entretien. Quand bien même ces précisions n'ont pas été reprises dans le dispositif du jugement, il résulte de ce qui précède que la volonté du premier juge était de mettre à la charge de l'intimée toutes les charges courantes relatives à l'appartement et aux parkings dont la jouissance lui était attribuée. Ce point n'a pas été contesté par l'appelante, qui n'a pas formé appel. Par souci de clarté, le dispositif du jugement du 22 novembre 2021 sera par conséquent précisé dans ce sens.</w:t>
      </w:r>
    </w:p>
    <w:p>
      <w:r>
        <w:rPr>
          <w:b/>
        </w:rPr>
        <w:t>E. 5</w:t>
      </w:r>
    </w:p>
    <w:p>
      <w:r>
        <w:t>L'appelant conteste devoir une contribution à l'entretien de son épouse. 5.1.1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w:t>
      </w:r>
    </w:p>
    <w:p>
      <w:r>
        <w:t>- 18/25 -</w:t>
      </w:r>
    </w:p>
    <w:p>
      <w:r>
        <w:t>C/28815/2019 sujet de la répartition des tâches et des ressources entre eux (art. 163 al. 2 CC), l'art. 163 CC demeurant en effet la cause de leur obligation d'entretien réciproque (ATF 138 III 97 consid. 2.2; 137 III 385 consid. 3.1; 130 III 537 consid. 3.2). Si leur situation financière le permet encore, le standard de vie antérieur, choisi d'un commun accord, doit être maintenu pour les deux parties (ATF 121 I 97 consid. 3b; arrêt 5A_828/2014 du 25 mars 2015 consid. 3). Le Tribunal fédéral a arrêté, pour toute la Suisse, une méthode uniforme de fixation de l'entretien - soit la méthode du minimum vital avec répartition de l'excédent. Il n'en demeure pas moins que, dans certains cas, cette méthode ne peut exceptionnellement pas être suivie, car elle ne donnerait pas un résultat raisonnable, ce qui est notamment le cas lorsque la situation financière est extraordinairement aisée. Il peut dans ces cas particuliers être fait usage de la méthode dite " du train de vie " (ATF 147 III 293 consid. 4.5). Il faut alors se fonder sur les dépenses indispensables au maintien du train de vie de la vie commune, qui constitue la limite supérieure du droit à l'entretien. Cette méthode implique un calcul concret. Il incombe au créancier d'entretien de préciser les dépenses nécessaires à son train de vie et de rendre celles-ci vraisemblables, le juge statuant sur la base des justificatifs immédiatement disponibles (ATF 115 II 424 consid. 3; arrêts du Tribunal fédéral 5A_534/2019 du 31 janvier 2020 consid. 4.1 et les références citées; 5A_170/2020 du 26 janvier 2020 consid. 4.2; 5A_864/2018 du 23 mai 2019 consid. 2.1).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5A_315/2016 du 7 février 2017 consid. 5.1; 5A_386/2014 et 5A_434/2014 du 1er décembre 2014 consid. 4.3).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(arrêts du Tribunal fédéral 5A_266/2015 du 24 juin 2015 consid. 7.2.2.2; 5A_248 2012 du 28 juin 2012 consid. 6.2). Lorsqu'une contribution à l'entretien est fixée en faveur d'un des conjoints, il convient de tenir compte du fait qu'il devra payer des impôts sur celle-ci (arrêts du Tribunal fédéral 5A_127/2017 du 29 juin 2017 consid. 3.3; 5A_165/2016 et 5A_166/2016 du 11 octobre 2016 consid. 8.3).</w:t>
      </w:r>
    </w:p>
    <w:p>
      <w:r>
        <w:t>- 19/25 -</w:t>
      </w:r>
    </w:p>
    <w:p>
      <w:r>
        <w:t>C/28815/2019</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t>5.1.2 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w:t>
      </w:r>
    </w:p>
    <w:p>
      <w:r>
        <w:t>5.1.3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5.1.4 Chaque partie doit, si la loi ne prescrit le contraire, prouver les faits qu'elle allègue pour en déduire son droit (art. 8 CC).</w:t>
      </w:r>
    </w:p>
    <w:p>
      <w:r>
        <w:t>Le tribunal établit sa conviction par une libre appréciation des preuves administrées (art. 157 CPC).</w:t>
      </w:r>
    </w:p>
    <w:p>
      <w:r>
        <w:t>5.2.1 L'appelant fait grief au Tribunal de lui avoir imputé un revenu de 685'000 fr. par année. Il allègue en outre ne pas être en mesure de contribuer à l'entretien de l'intimée et avoir dû, durant les dernières années, puiser dans sa fortune afin d'assumer les charges de la famille.</w:t>
      </w:r>
    </w:p>
    <w:p>
      <w:r>
        <w:t>Les allégations de l'appelant ne sont toutefois guère convaincantes et sont contredites par le contenu du dossier, étant relevé que compte tenu de la complexité (organisée) de sa situation financière (l'appelant était ou est encore administrateur ou directeur de plusieurs sociétés; il est le bénéficiaire d'un trust, lequel perçoit des dividendes de la société AB______ et les lui reverse ensuite en tout ou en partie; les véhicules de luxe qu'il a acquis sont détenus à titre fiduciaire par une société), il n'est pas possible de la cerner précisément, ce qu'il doit se</w:t>
      </w:r>
    </w:p>
    <w:p>
      <w:r>
        <w:t>- 20/25 -</w:t>
      </w:r>
    </w:p>
    <w:p>
      <w:r>
        <w:t>C/28815/2019 laisser imputer. Il convient par conséquent de se référer au seul indicateur fiable du dossier, à savoir les dépenses de la famille et de les confronter aux revenus déclarés par l'appelant depuis 2015.</w:t>
      </w:r>
    </w:p>
    <w:p>
      <w:r>
        <w:t>Depuis son arrivée en Suisse et jusqu'en 2014, l'appelant a été mis au bénéfice d'un forfait fiscal, calculé sur des dépenses à hauteur de 460'000 fr. par année. A partir de 2015, il a renoncé à son forfait fiscal, au motif que celui-ci ne lui était plus favorable, compte tenu de la baisse importante de ses revenus. De 2015 à 2019, il a ainsi déclaré à l'administration fiscale des revenus compris entre 102'944 fr. et 189'692 fr. Or, il est établi sur la base du dossier qu'en 2018 les dépenses de la famille, même en retranchant la somme de 17'526 fr. prétendument comptabilisée à double par le premier juge, se sont élevées à 433'558 fr. (352'494 fr. [sur le compte-joint AL______] + 44'083 fr. [carte de crédit R______] + 26'564 fr. [compte-joint D______] + 27'943 fr. [compte-joint D______ en EUR] – 17'526 fr.), ce qui correspond à une dépense moyenne de 36'130 fr. par mois, proche des 40'000 fr. par mois allégués par l'intimée dans ses écritures. Sous réserve de 17'526 fr. que le Tribunal aurait comptabilisés à double, l'appelant n'a pas contesté la réalité de ces dépenses, dont une partie était imputable aux enfants et non aux seules parties. Cela étant, il sera retenu qu'en 2018, alors que les parties ont déclaré aux autorités fiscales des revenus à hauteur de 161'990 fr., elles ont en réalité dépensé, pour l'ensemble de la famille, plus de 433'000 fr. Toujours en retranchant les montants prétendument comptabilisés à double par le Tribunal, les parties ont procédé, durant les six premiers mois de l'année 2019, à des dépenses pour un total d'à tout le moins 176'541 fr. (149'035 fr. [sur le compte-joint AL______] + 25'483 fr. [compte-joint D______] + 11'393 fr. [compte-joint D______ en EUR] – 9'370 fr.), ce qui correspond à un montant mensuel de près de 29'500 fr. par mois, étant relevé que les dépenses effectuées au moyen de la carte de crédit R______ n'ont pas été prises en considération. Au vu de ce qui précède, l'appelant ne saurait sérieusement soutenir réaliser, depuis 2015, des revenus inférieurs à 200'000 fr. par année, alors que les dépenses de la famille ont été plus de deux fois supérieures à ce montant en 2018 et ont presque atteint ladite somme durant les seuls six premiers mois de l'année 2019. L'appelant a certes allégué avoir utilisé sa fortune pour subvenir aux besoins de sa famille, fortune qui serait désormais épuisée. A nouveau, son argumentation ne convainc pas et est contredite par les pièces du dossier. Si les avis de taxation mentionnent effectivement une diminution de la fortune entre 2015 et 2017 (1'410'164 fr. de fortune imposable à cette date), les déclarations fiscales pour les années 2018 et 2019 font par contre état d'une fortune imposable de respectivement 2'470'518 fr. en 2018 et de 2'418'505 fr. en 2019, soit une</w:t>
      </w:r>
    </w:p>
    <w:p>
      <w:r>
        <w:t>- 21/25 -</w:t>
      </w:r>
    </w:p>
    <w:p>
      <w:r>
        <w:t>C/28815/2019 augmentation de l'ordre de 1'000'000 fr. depuis 2017. En 2018, l'appelant a déclaré, pour la seule fortune mobilière, un montant de 2'984'977 fr.; ledit montant a été porté à 3'341'467 fr. en 2019, soit une augmentation, en une année, de plus de 350'000 fr., sur laquelle l'appelant n'a fourni aucune explication utile. Ce dernier n'est par conséquent pas parvenu à rendre vraisemblable, contrairement à ce qu'il a allégué, avoir dû puiser dans sa fortune pour maintenir le train de vie de la famille. Il résulte certes de certains documents fiscaux produits que la fortune mobilière de l'intimée a diminué avant la séparation des parties. L'appelant n'a toutefois pas établi que cette fortune aurait servi à payer les dépenses courantes de la famille.</w:t>
      </w:r>
    </w:p>
    <w:p>
      <w:r>
        <w:t>Il ressort en outre du dossier que l'appelant avait envisagé de prêter la somme de 1'000'000 fr. à un ami, AN______, dans le cadre d'un " projet " non précisé, lequel ne s'est, au final, pas réalisé selon les explications qu'il a fournies. L'appelant a enfin prêté à sa compagne, le 15 janvier 2020, alors que la procédure de mesures protectrices était en cours depuis quelques mois, un montant de 1'100'000 fr., les explications fournies sur l'utilisation de cet argent étant pour le moins imprécises, l'appelant ayant fini par indiquer que sa compagne pouvait l'utiliser comme elle le souhaitait, ce qui pourrait être interprété comme une donation. Un tel comportement n'est guère compatible avec le tarissement allégué des revenus et de la fortune de l'appelant.</w:t>
      </w:r>
    </w:p>
    <w:p>
      <w:r>
        <w:t>Ainsi, il sera retenu que les revenus perçus par l'appelant lui ont permis d'assumer les dépenses de la famille à hauteur de 36'000 fr. par mois en 2018 et d'à tout le moins 29'500 fr. par mois durant les six premiers mois de l'année 2019 et aucun élément concret ne permet de considérer que l'appelant ne disposerait plus, actuellement, de revenus similaires.</w:t>
      </w:r>
    </w:p>
    <w:p>
      <w:r>
        <w:t>Il est dès lors acquis que les revenus dont dispose l'appelant peuvent être estimés à un montant compris à tout le moins entre 30'000 fr. et 35'000 fr. par mois.</w:t>
      </w:r>
    </w:p>
    <w:p>
      <w:r>
        <w:t>5.2.2 L'appelant ayant, du temps de la vie commune, subvenu aux besoins de la famille et étant, conformément à ce qui a été retenu ci-dessus, encore en mesure de le faire, c'est à juste titre que le Tribunal a considéré, conformément à l'art. 163 CC, que l'intimée devait être mise au bénéfice d'une contribution à son entretien. Rien ne justifie en effet qu'elle doive puiser dans sa fortune pour subvenir à son entretien, étant relevé que l'appelant, qui a allégué que l'intimée possédait d'importants avoirs immobiliers, n'a fourni aucune indication utile sur ce point. Il reste à déterminer le montant de ladite contribution. L'appelant ayant fait état de charges à hauteur de 12'119 fr. par mois, son solde disponible est compris, en chiffres ronds, entre 18'000 fr. et 23'000 fr.</w:t>
      </w:r>
    </w:p>
    <w:p>
      <w:r>
        <w:t>- 22/25 -</w:t>
      </w:r>
    </w:p>
    <w:p>
      <w:r>
        <w:t>C/28815/2019</w:t>
      </w:r>
    </w:p>
    <w:p>
      <w:r>
        <w:t>Le Tribunal ne pouvait, comme il l'a fait, diviser par deux les montants retenus au titre des dépenses de la famille et en imputer une moitié aux seuls besoins de l'intimée, dans la mesure où lesdites dépenses comprenaient également, comme l'a relevé à juste titre l'appelant, celles relatives aux enfants des parties.</w:t>
      </w:r>
    </w:p>
    <w:p>
      <w:r>
        <w:t>Conformément à la méthode dite " du train de vie " et à la jurisprudence citée sous considérant 5.1.1 ci-dessus, il incombait à l'intimée de préciser les dépenses nécessaires au maintien de son train de vie antérieur et de rendre celles-ci vraisemblables.</w:t>
      </w:r>
    </w:p>
    <w:p>
      <w:r>
        <w:t>Sur la base de ses allégations et des pièces produites, les charges mensuelles suivantes peuvent être retenues : 695 fr. de prime d'assurance maladie, 645 fr. de frais liés à son véhicule (impôt, assurance et frais d'essence), 109 fr. de prime d'assurance ménage et responsabilité civile, 130 fr. de frais d'alarme, 120 fr. de frais de téléphonie, 167 fr. de frais d'abonnement de fitness, montants auxquels s'ajoutent le minimum vital OP en 1'200 fr., ainsi que les charges hypothécaires relatives à l'appartement conjugal en 5'600 fr. Ce montant, retenu par le Tribunal, ne comprend certes pas les charges de copropriété; les parties n'ayant toutefois fourni aucune précision sur celles-ci, il n'y a pas lieu de tenir compte d'une somme plus importante pour les frais liés à l'appartement conjugal désormais à la charge de l'intimée. Cette dernière a par ailleurs allégué, sans être contredite, que la famille partait en vacances plusieurs fois par année, soit à raison des fêtes de Noël et d'un voyage durant l'été dans des contrées lointaines et d'une semaine à la montagne. Il se justifie par conséquent d'inclure dans son budget un montant de 1'000 fr. par mois à ce titre. L'intimée n'ayant pas apporté d'autres éléments concrets et documentés relatifs à des charges supplémentaires allant au-delà de celles retenues ci-dessus, il sera admis qu'un montant mensuel de l'ordre de 9'666 fr., arrondi à 10'000 fr., lui permettra de maintenir son train de vie antérieur. A cette somme s'ajoutera un supplément de 3'000 fr. par mois, qui lui permettra d'acquitter les impôts auxquels elle sera soumise.</w:t>
      </w:r>
    </w:p>
    <w:p>
      <w:r>
        <w:t>Au vu de ce qui précède, l'appelant sera condamné à verser à l'intimée, par mois et d'avance, dès le 1er août 2019, la somme de 13'000 fr., sous déduction de la somme de 182'360 fr. déjà versée, ni le dies a quo ni ledit montant n'ayant été contestés formellement en appel.</w:t>
      </w:r>
    </w:p>
    <w:p>
      <w:r>
        <w:t>Le chiffre 4 du dispositif du jugement attaqué sera annulé et il sera statué à nouveau conformément à ce qui précède.</w:t>
      </w:r>
    </w:p>
    <w:p>
      <w:r>
        <w:t>- 23/25 -</w:t>
      </w:r>
    </w:p>
    <w:p>
      <w:r>
        <w:t>C/28815/2019</w:t>
      </w:r>
    </w:p>
    <w:p>
      <w:r>
        <w:rPr>
          <w:b/>
        </w:rPr>
        <w:t>E. 6</w:t>
      </w:r>
    </w:p>
    <w:p>
      <w:r>
        <w:t>6.1.1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6.1.2 Si l'instance d'appel statue à nouveau, elle se prononce sur les frais de la première instance. 6.2.1 La réduction de la contribution d'entretien allouée par le Tribunal à l'intimée ne justifie pas de revoir la répartition des frais judiciaires, aucune des parties n'ayant obtenu entièrement gain de cause. Pour cette raison également et compte tenu de la nature du litige, c'est à raison que le Tribunal n'a pas alloué de dépens. 6.2.2 Les frais de la procédure d'appel seront arrêtés à 4'200 fr., compensés avec l'avance de frais versée par A______ et entièrement mis à la charge de ce dernier, qui succombe dans une très large mesure. Compte tenu de la nature familiale du litige, chaque partie supportera ses propres dépens d'appel. * * * * *</w:t>
      </w:r>
    </w:p>
    <w:p>
      <w:r>
        <w:t>- 24/25 -</w:t>
      </w:r>
    </w:p>
    <w:p>
      <w:r>
        <w:t>C/28815/2019 PAR CES MOTIFS, La Chambre civile : A la forme : Déclare recevable l'appel interjeté par A______ contre le jugement JTPI/14742/2021 rendu le 22 novembre 2021 par le Tribunal de première instance dans la cause C/28815/2019. Au fond : Complète le chiffre 2 du dispositif dudit jugement en ce sens qu'il appartient à B______ de prendre en charge, dès le 1er août 2019, toutes les charges courantes relatives aux deux appartements réunis situés au 4ème étage de l'immeuble sis 1______ à Genève et aux box dont la jouissance lui a été attribuée. Annule le chiffre 4 du dispositif du jugement attaqué et cela fait, statuant à nouveau sur ce point : Condamne A______ à verser à B______, par mois et d'avance, dès le 1er août 2019, la somme de 13'000 fr. à titre de contribution à son entretien, sous déduction du montant de 182'360 fr. déjà versé à ce titre. Confirme pour le surplus le jugement attaqué. Déboute les parties de toutes autres conclusions. Sur les frais : Arrête les frais de la procédure d'appel à 4'200 fr., les compense avec l'avance de frais versée et les met à la charge de A______. Dit qu'il n'est pas alloué de dépens. Siégeant : Monsieur Cédric-Laurent MICHEL, président; Madame Pauline ERARD et Madame Paola CAMPOMAGNANI, juges; Madame Gladys REICHENBACH, greffière.</w:t>
      </w:r>
    </w:p>
    <w:p>
      <w:r>
        <w:t>Le président : Cédric-Laurent MICHEL</w:t>
      </w:r>
    </w:p>
    <w:p>
      <w:r>
        <w:t>La greffière : Gladys REICHENBACH</w:t>
      </w:r>
    </w:p>
    <w:p>
      <w:r>
        <w:t>- 25/25 -</w:t>
      </w:r>
    </w:p>
    <w:p>
      <w:r>
        <w:t>C/28815/2019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