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ACJC/757/2024 vom 13. Juni 2024</w:t>
      </w:r>
    </w:p>
    <w:p>
      <w:r>
        <w:t>GE Cour de justice, 2024-06-13, FR</w:t>
      </w:r>
    </w:p>
    <w:p>
      <w:r>
        <w:rPr>
          <w:b/>
        </w:rPr>
        <w:t xml:space="preserve">Quelle: </w:t>
      </w:r>
      <w:r>
        <w:t>https://mcp.opencaselaw.ch/entscheid/ge_gerichte_ACJC_757_2024</w:t>
      </w:r>
    </w:p>
    <w:p>
      <w:r>
        <w:t>FR: GE_GERICHTE ACJC/757/2024 du 13 juin 2024</w:t>
      </w:r>
    </w:p>
    <w:p>
      <w:r>
        <w:t>IT: GE_GERICHTE ACJC/757/2024 del 13 giugno 2024</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Interjeté dans le délai (art. 142 al. 1, 145 al. 1 let. b CPC et 314 al. 1 CPC) et selon la forme prescrits par la loi (art. 130 et 131 CPC), dans une affaire non pécuniaire puisque portant sur les droits parentaux (arrêt du Tribunal fédéral 5A_130/2018 du 11 avril 2018 consid. 1 1), l'appel est recevable. Il en va de même de la réponse de l'intimé ainsi que des écritures spontanées des parties, déposées en temps utile avant que la cause n'ait été gardée à juger.</w:t>
      </w:r>
    </w:p>
    <w:p>
      <w:r>
        <w:rPr>
          <w:b/>
        </w:rPr>
        <w:t>E. 1.2</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1.3</w:t>
      </w:r>
    </w:p>
    <w:p>
      <w:r>
        <w:t>Conformément à l'art. 296 al. 1 et al. 3 CPC, la présente cause est soumise aux maximes d'office et inquisitoire illimitée en tant qu'elle concerne le sort de l'enfant mineure des parties (ATF 147 III 301 consid. 2.2). La Cour n'est donc liée ni par les conclusions des parties ni par l'interdiction de la reformatio in peius (ATF 129 III 417 consid. 2.1.1; arrêts du Tribunal fédéral 5A_841/2018; 5A_843/2018 du 12 février 2020 consid. 5.2).</w:t>
      </w:r>
    </w:p>
    <w:p>
      <w:r>
        <w:rPr>
          <w:b/>
        </w:rPr>
        <w:t>E. 2</w:t>
      </w:r>
    </w:p>
    <w:p>
      <w:r>
        <w:t>Les parties ont produit des pièces nouvelles à l'appui de leurs écritures respectives.</w:t>
      </w:r>
    </w:p>
    <w:p>
      <w:r>
        <w:t>- 7/12 -</w:t>
      </w:r>
    </w:p>
    <w:p>
      <w:r>
        <w:t>C/20708/2023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précité, ibidem).</w:t>
      </w:r>
    </w:p>
    <w:p>
      <w:r>
        <w:rPr>
          <w:b/>
        </w:rPr>
        <w:t>E. 2.2</w:t>
      </w:r>
    </w:p>
    <w:p>
      <w:r>
        <w:t>En l'espèce, les pièces nouvellement produites par les parties sont recevables, comme les faits qu'elles visent, lesquels ont été intégrés dans la partie "En fait" ci- dessus dans la mesure utile.</w:t>
      </w:r>
    </w:p>
    <w:p>
      <w:r>
        <w:rPr>
          <w:b/>
        </w:rPr>
        <w:t>E. 3</w:t>
      </w:r>
    </w:p>
    <w:p>
      <w:r>
        <w:t>Le 28 février 2024, le SEASP a adressé son rapport d'évaluation sociale au Tribunal. Il s'ensuit que la conclusion préalable de l'appelante tendant à ce qu'il soit ordonné la reddition d'un tel rapport est sans objet.</w:t>
      </w:r>
    </w:p>
    <w:p>
      <w:r>
        <w:rPr>
          <w:b/>
        </w:rPr>
        <w:t>E. 4</w:t>
      </w:r>
    </w:p>
    <w:p>
      <w:r>
        <w:t>L'appelante fait grief au Tribunal d'avoir refusé sa requête visant à pouvoir répondre par écrit aux allégués de la demande de mesures provisionnelles de l'intimé avant l'audience sur mesures provisionnelles. Elle n'invoque toutefois pas la violation de son droit d'être entendue à ce titre. Au demeurant, il suffit ici de constater que le Tribunal, après avoir statué sur mesures superprovisionnelles, a tenu une audience le 22 novembre 2023 (art. 265 al. 2 CPC). A cette occasion, l'appelante a pu s'exprimer et se déterminer sur le contenu de la demande de l'intimé, et même formuler une requête de mesures provisionnelles, ce qui exclut toute violation d'une garantie procédurale.</w:t>
      </w:r>
    </w:p>
    <w:p>
      <w:r>
        <w:rPr>
          <w:b/>
        </w:rPr>
        <w:t>E. 5</w:t>
      </w:r>
    </w:p>
    <w:p>
      <w:r>
        <w:t>L'appelante reproche au Tribunal d'avoir confié la garde exclusive de C______ à son père et sollicite l'attribution de celle-ci en sa faveur.</w:t>
      </w:r>
    </w:p>
    <w:p>
      <w:r>
        <w:rPr>
          <w:b/>
        </w:rPr>
        <w:t>E. 5.1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arrêt du Tribunal fédéral 5A_534/2019 du 31 janvier 2020 consid. 3.1).</w:t>
      </w:r>
    </w:p>
    <w:p>
      <w:r>
        <w:rPr>
          <w:b/>
        </w:rPr>
        <w:t>E. 5.1.1</w:t>
      </w:r>
    </w:p>
    <w:p>
      <w:r>
        <w:t>La garde sur l'enfant peut être attribuée à un seul des parents, même lorsque l'autorité parentale demeure conjointe. Un parent ne peut en effet déduire du principe de l'autorité parentale conjointe le droit de pouvoir effectivement s'occuper de l'enfant (arrêts du Tribunal fédéral 5A_539/2020 du 17 août 2020 consid. 4.1.2; 5A_382/2019 et 5A_502/2019 du 9 décembre 2019 consid. 4.2.1).</w:t>
      </w:r>
    </w:p>
    <w:p>
      <w:r>
        <w:t>- 8/12 -</w:t>
      </w:r>
    </w:p>
    <w:p>
      <w:r>
        <w:t>C/20708/2023 En matière d'attribution des droits parentaux, le respect du bien de l'enfant constitue en effet la règle fondamentale,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(arrêts du Tribunal fédéral 5A_539/2020 du 17 août 2020 consid. 4.1.2 et les références citées; 5A_382/2019 et 5A_502/2019 du 9 décembre 2019 consid. 4.2.1)</w:t>
      </w:r>
    </w:p>
    <w:p>
      <w:r>
        <w:rPr>
          <w:b/>
        </w:rPr>
        <w:t>E. 5.1.2</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w:t>
      </w:r>
    </w:p>
    <w:p>
      <w:r>
        <w:rPr>
          <w:b/>
        </w:rPr>
        <w:t>E. 5.1.3</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w:t>
      </w:r>
    </w:p>
    <w:p>
      <w:r>
        <w:t>- 9/12 -</w:t>
      </w:r>
    </w:p>
    <w:p>
      <w:r>
        <w:t>C/20708/2023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w:t>
      </w:r>
    </w:p>
    <w:p>
      <w:r>
        <w:rPr>
          <w:b/>
        </w:rPr>
        <w:t>E. 5.2</w:t>
      </w:r>
    </w:p>
    <w:p>
      <w:r>
        <w:t>L'appelante critique la décision entreprise en ce qu'elle se fonde sur les attestations établies par la mère de l'intimé, qu'elle estime de complaisance, ainsi que sur des échanges de messages entre les parties dont la majorité n'étaient pas datés, peu lisibles et sortis de leur contexte. Selon elle, il s'agit bien plutôt de prendre en considération le classement du dossier par le SPMi ainsi que l'attestation du Dr D______ confirmant ses compétences parentales. Le Tribunal aurait également dû solliciter le rapport du SEASP avant de statuer. De plus, l'appelante fait grief au Tribunal d'avoir omis de considérer qu'avant le 25 septembre 2023, elle exerçait la garde de fait sur sa fille depuis 15 mois déjà et que cela se passait bien, l'enfant voyant régulièrement son père à raison d'une semaine, voire 10 jours par mois. La stabilité de l'enfant avait alors été grandement perturbée lorsque l'intimé avait repris sa fille de force et rompu le lien mère/fille. Il convenait de rétablir la situation qui prévalait antérieurement en permettant à C______ de retrouver son lieu de vie auprès de sa mère.</w:t>
      </w:r>
    </w:p>
    <w:p>
      <w:r>
        <w:rPr>
          <w:b/>
        </w:rPr>
        <w:t>E. 5.3.1</w:t>
      </w:r>
    </w:p>
    <w:p>
      <w:r>
        <w:t>Contrairement aux allégations de l'appelante, la situation était loin d'être stable et propice au bon développement de l'enfant lorsque celle-ci vivait aux côtés de sa mère. Il ressort en effet du rapport du SEASP, qu'aucun élément objectif ne vient contredire, que l'organisation des visites du père était chaotique et que le conflit autour de l'enfant ne cessait d'enfler. L'épisode du 25 septembre 2023, à l'issue duquel chaque partie accuse l'autre de violences et qui a vu la garde de fait de C______ être transférée à son père, témoigne de l'intensité du conflit parental auquel était directement exposée l'enfant. Il en va également ainsi des nombreux échanges de messages sur lesquels s'est appuyé le Tribunal, dont il ressort de manière claire que l'appelante invective l'intimé, le rabaisse, et le menace de le priver définitivement de sa fille en partant à l'étranger avec elle. L'appréciation du Tribunal selon laquelle l'appelante présentait vraisemblablement un état émotionnel instable et souffrait probablement d'un complexe de persécution ne peut qu'être partagée au regard du contenu de ces échanges. Dans</w:t>
      </w:r>
    </w:p>
    <w:p>
      <w:r>
        <w:t>- 10/12 -</w:t>
      </w:r>
    </w:p>
    <w:p>
      <w:r>
        <w:t>C/20708/2023 le même sens, le rapport du SEASP relève, au sujet de l'appelante, un discours persécutoire et des difficultés dans la compréhension et l'appréciation des besoins de sa fille, parfois relégués au second plan au profit de discussions procédurales. Ce service a, dans cette mesure, exprimé ses doutes sur la santé psychique de la mère et sa capacité à prendre en charge l'enfant de manière adéquate.</w:t>
      </w:r>
    </w:p>
    <w:p>
      <w:r>
        <w:rPr>
          <w:b/>
        </w:rPr>
        <w:t>E. 5.3.2</w:t>
      </w:r>
    </w:p>
    <w:p>
      <w:r>
        <w:t>L'attestation médicale produite par l'appelante au sujet de ses capacités parentales, laquelle émane d'un thérapeute qu'elle consulte peu régulièrement et qui n'a eu accès ni au dossier, ni au rapport d'évaluation sociale précité, ni aux professionnels entourant l'enfant, n'est pas susceptible, en l'état, d'exclure une quelconque atteinte à la santé psychique de l'intéressée. De même, le classement du dossier par le SPMi en juin 2022 ne remet pas en cause ce qui précède, dès lors qu'il ne renseigne pas sur la situation familiale actuelle, qui s'est vraisemblablement péjorée depuis son intervention.</w:t>
      </w:r>
    </w:p>
    <w:p>
      <w:r>
        <w:rPr>
          <w:b/>
        </w:rPr>
        <w:t>E. 5.3.3</w:t>
      </w:r>
    </w:p>
    <w:p>
      <w:r>
        <w:t>L'intimé exerce la garde de fait sur sa fille depuis le mois de septembre 2023. Selon le rapport du SEASP – dont rien, en l'état, ne permet de remettre en cause la valeur probante –, l'enfant semble évoluer favorablement et bénéficie auprès de son père d'une prise en charge stable et adéquate. De plus, des visites médiatisées au Point rencontre à raison d'une heure trente chaque semaine ont pu être organisées depuis le mois de février 2024, permettant enfin à C______ de revoir sa mère dans un cadre plus serein. Considérant ce qui précède, rien ne justifie de faire subir à l'enfant une nouvelle modification dans sa prise en charge et de porter atteinte à l'équilibre que le réseau de professionnels entourant la famille s'efforce actuellement de mettre en place. Par ailleurs, compte tenu de la situation telle que décrite ci-dessus et de la rupture des relations mère/fille pendant plusieurs mois, un éventuel élargissement du droit de visite de la mère ne pourra, au mieux, intervenir que par étapes progressives. Au regard des préoccupations élevées par le SEASP concernant les compétences parentales de l'appelante, il se justifie que les relations personnelles s'exercent pour le moment sous la surveillance d'un tiers. Partant, il convient de confirmer les modalités de garde et des relations personnelles fixées sur mesures provisionnelles par le premier juge, qui apparaissent adéquates, l'appelante ne discutant du reste pas spécifiquement ces dernières.</w:t>
      </w:r>
    </w:p>
    <w:p>
      <w:r>
        <w:rPr>
          <w:b/>
        </w:rPr>
        <w:t>E. 5.3.4</w:t>
      </w:r>
    </w:p>
    <w:p>
      <w:r>
        <w:t>Pour le surplus, compte tenu de l'urgence de la situation (cf. art. 261 al. 1 CPC), il ne saurait être fait grief au Tribunal de ne pas avoir attendu la reddition du rapport du SEASP pour statuer sur mesures provisionnelles en maintenant la situation de fait jusqu'à la clarification des questions restées en suspens.</w:t>
      </w:r>
    </w:p>
    <w:p>
      <w:r>
        <w:rPr>
          <w:b/>
        </w:rPr>
        <w:t>E. 5.4</w:t>
      </w:r>
    </w:p>
    <w:p>
      <w:r>
        <w:t>L'appel sera donc rejeté et les chiffres 1 et 2 du dispositif de l'ordonnance querellée seront confirmés.</w:t>
      </w:r>
    </w:p>
    <w:p>
      <w:r>
        <w:t>- 11/12 -</w:t>
      </w:r>
    </w:p>
    <w:p>
      <w:r>
        <w:t>C/20708/2023</w:t>
      </w:r>
    </w:p>
    <w:p>
      <w:r>
        <w:rPr>
          <w:b/>
        </w:rPr>
        <w:t>E. 6</w:t>
      </w:r>
    </w:p>
    <w:p>
      <w:r>
        <w:t>Les frais judiciaires d'appel seront arrêtés à 800 fr. (art. 95 al. 1 let. a et al. 2, 96, 104 al. 1 et 105 al. 1 CPC; art. 31 et 37 RTFMC) et mis à la charge de l'appelante qui succombe (art. 106 al. 1 CPC). L'appelante étant au bénéfice de l'assistance juridique, sa part des frais judiciaires sera provisoirement supportée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Vu l'issue du litige, l'appelante sera condamnée à payer à l'intimé la somme de 1'000 fr. à titre de dépens d'appel (art. 105 al. 2, art. 106 al. 1 CPC; art. 86 RTFMC). * * * * *</w:t>
      </w:r>
    </w:p>
    <w:p>
      <w:r>
        <w:t>- 12/12 -</w:t>
      </w:r>
    </w:p>
    <w:p>
      <w:r>
        <w:t>C/20708/2023 PAR CES MOTIFS, La Chambre civile : A la forme : Déclare recevable l'appel interjeté le 18 janvier 2024 par A______ contre l'ordonnance OTPI/14/2024 rendue le 3 janvier 2024 par le Tribunal de première instance dans la cause C/20708/2023. Au fond : Confirme cette ordonnance. Déboute les parties de toutes autres conclusions. Sur les frais : Arrête les frais judiciaires d'appel à 800 fr. et les met à la charge de A______. Dit que les frais de 800 fr. à la charge de A______ sont provisoirement supportés par l'Etat de Genève. Condamne A______ à payer à B______ la somme de 1'000 fr. à titre de dépens d'appel. Siégeant : Monsieur Cédric-Laurent MICHEL, président; Madame Pauline ERARD, Madame Stéphanie MUSY,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