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ACJC/756/2022 vom 14. Januar 2022</w:t>
      </w:r>
    </w:p>
    <w:p>
      <w:r>
        <w:t>GE Cour de justice, 2022-01-14, FR</w:t>
      </w:r>
    </w:p>
    <w:p>
      <w:r>
        <w:rPr>
          <w:b/>
        </w:rPr>
        <w:t xml:space="preserve">Quelle: </w:t>
      </w:r>
      <w:r>
        <w:t>https://mcp.opencaselaw.ch/entscheid/ge_gerichte_ACJC_756_2022</w:t>
      </w:r>
    </w:p>
    <w:p>
      <w:r>
        <w:t>FR: GE_GERICHTE ACJC/756/2022 du 14 janvier 2022</w:t>
      </w:r>
    </w:p>
    <w:p>
      <w:r>
        <w:t>IT: GE_GERICHTE ACJC/756/2022 del 14 gennaio 2022</w:t>
      </w:r>
    </w:p>
    <w:p>
      <w:pPr>
        <w:pStyle w:val="Heading2"/>
      </w:pPr>
      <w:r>
        <w:t>Erwägungen</w:t>
      </w:r>
    </w:p>
    <w:p>
      <w:r>
        <w:rPr>
          <w:b/>
        </w:rPr>
        <w:t>E. 1.1</w:t>
      </w:r>
    </w:p>
    <w:p>
      <w:r>
        <w:t>L'ordonnance querellée constitue une décision sur mesures provisionnelles (art. 308 al. 1 let. b CPC) susceptible de faire l'objet d'un appel pour autant que la valeur litigieuse au dernier état des conclusions prises devant l'autorité de première instance atteigne 10'000 fr. (art. 308 al. 2 CO). En l'espèce, la valeur litigieuse correspond à l'augmentation de valeur que la suppression et le déplacement des arbres litigieux procureraient au fonds du requérant des mesures provisionnelles (arrêts du Tribunal fédéral 5A_774/2017 du</w:t>
      </w:r>
    </w:p>
    <w:p>
      <w:r>
        <w:t>- 6/12 -</w:t>
      </w:r>
    </w:p>
    <w:p>
      <w:r>
        <w:t>C/21063/2021 12 février 2018 consid. 1.2.4 et la référence; 5A_29/2015 du 5 juin 2015 consid. 1.1.1.1 et les références; 5A_749/2007 du 2 juin 2008 consid. 1.2). Il peut être admis à ce stade que cette valeur est vraisemblablement supérieure à 10'000 fr., de sorte que la voie de l'appel est ouverte. Il sera relevé que, contrairement à ce que semblent soutenir les intimées, s'il devait être admis que cette valeur est inférieure à 10'000 fr., la conséquence n'en serait pas l'irrecevabilité pure et simple de l'appel formé, mais celui-ci devrait être traité comme un recours dans la mesure où l'acte déposé remplit les conditions formelles d'un tel acte.</w:t>
      </w:r>
    </w:p>
    <w:p>
      <w:r>
        <w:rPr>
          <w:b/>
        </w:rPr>
        <w:t>E. 1.2</w:t>
      </w:r>
    </w:p>
    <w:p>
      <w:r>
        <w:t>L'appel a été formé dans le délai utile de 10 jours (art. 142 al. 3, 248 let. d et 314 al. 1 CPC) et respecte les exigences de forme prescrites par la loi (art. 130, 131 et 311 CPC). Il est par conséquent recevable à cet égard.</w:t>
      </w:r>
    </w:p>
    <w:p>
      <w:r>
        <w:rPr>
          <w:b/>
        </w:rPr>
        <w:t>E. 1.3</w:t>
      </w:r>
    </w:p>
    <w:p>
      <w:r>
        <w:t>Les intimées contestent la recevabilité de la conclusion prise sous ch. 3, qui serait nouvelle. L'appelant soutient qu'elle ne constitue qu'une précision supplémentaire, qui constitue une réduction de ses conclusions initiales.</w:t>
      </w:r>
    </w:p>
    <w:p>
      <w:r>
        <w:rPr>
          <w:b/>
        </w:rPr>
        <w:t>E. 1.3.1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arrêt du Tribunal fédéral 5A_18/2018 du 16 mars 2018 consid. 4.3.2.1). Une réduction des conclusions ne constitue pas une modification de la demande au sens de l'art. 317 al. 2 CPC, mais un retrait partiel de cette demande admissible en tout temps (arrêts du Tribunal fédéral 5A_456/2016 du 28 octobre 2016 consid. 4.2.1; 5A_184/2013 du 26 avril 2013 consid. 3.2).</w:t>
      </w:r>
    </w:p>
    <w:p>
      <w:r>
        <w:rPr>
          <w:b/>
        </w:rPr>
        <w:t>E. 1.3.2</w:t>
      </w:r>
    </w:p>
    <w:p>
      <w:r>
        <w:t>En l'espèce, l'appelant a modifié à trois reprises ses conclusions. Il a d'abord, dans sa requête, conclu à ce qu'il soit fait interdiction aux intimées de planter ou de faire planter tout arbre sur la parcelle n° 2______ de la commune de E______ sans son accord et à ce qu'il leur soit ordonné de supprimer toute plantation ou tout arbre qui aurait été planté sans son accord. Il a ensuite conclu lors de l'audience du 20 décembre 2021 devant le Tribunal, en sus des conclusions prises dans sa requête, à ce que les arbres "Lin", "Pca" et "Qpe" soient déterrés. Enfin, devant la Cour, il a requis que le premier arbre soit supprimé, le second déplacé et le troisième remplacé. Ces différentes conclusions sont en lien de connexité avec la prétention initiale. L'appelant avait par ailleurs déjà requis devant le Tribunal la suppression de toute plantation, respectivement le déterrement de trois arbres. La conclusion tendant à la suppression du "Lin" uniquement constitue donc une réduction des conclusions</w:t>
      </w:r>
    </w:p>
    <w:p>
      <w:r>
        <w:t>- 7/12 -</w:t>
      </w:r>
    </w:p>
    <w:p>
      <w:r>
        <w:t>C/21063/2021 recevable. Le fait de déplacer un arbre ou d'en remplacer un autre plutôt que de le supprimer ne constitue en revanche pas à proprement parler une réduction des conclusions, mais une modification de la demande dans la mesure où le déplacement à l'endroit souhaité ou le type d'arbre qui devrait remplacer l'arbre mentionné posent des questions particulières distinctes de la prétention initiale. La question de la recevabilité de ces conclusions est donc litigieuse, mais au vu des considérations qui suivent, elle n'a cependant pas besoin d'être tranchée (cf. infra consid. 2.2 in fine).</w:t>
      </w:r>
    </w:p>
    <w:p>
      <w:r>
        <w:rPr>
          <w:b/>
        </w:rPr>
        <w:t>E. 1.4</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L'appelant soutient disposer d'un droit matériel fondé sur le contrat conclu entre les parties. En outre, si les arbres concernés n'étaient pas déplantés maintenant, ils ne pourraient plus l'être par la suite sans être endommagés et sa parcelle perdrait de la valeur.</w:t>
      </w:r>
    </w:p>
    <w:p>
      <w:r>
        <w:rPr>
          <w:b/>
        </w:rPr>
        <w:t>E. 2.1.1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w:t>
      </w:r>
    </w:p>
    <w:p>
      <w:r>
        <w:t>- 8/12 -</w:t>
      </w:r>
    </w:p>
    <w:p>
      <w:r>
        <w:t>C/21063/2021 romand, Code de procédure civile, 2ème éd. 2019, n. 7 ad art. 261). Il doit en outre rendre vraisemblable une atteinte au droit ou son imminence, sur la base d'éléments objectifs (BOHNET, op. cit., n. 10 ad art. 261 CPC). Doit également être rendu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La non réalisation des conditions à l'octroi de mesures provisionnelles conduit au rejet de la requête (ACJC/1148/2020 du 24 août 2020 consid. 4.1.1; ACJC/1471/2015 du 4 décembre 2015 consid. 3.1.1; ACJC/250/2015 du 6 mars 2015 consid. 4.1; ACJC/1610/2014 du 19 décembre 2014).</w:t>
      </w:r>
    </w:p>
    <w:p>
      <w:r>
        <w:rPr>
          <w:b/>
        </w:rPr>
        <w:t>E. 2.1.2</w:t>
      </w:r>
    </w:p>
    <w:p>
      <w:r>
        <w:t>Rendre vraisemblable signifie qu'il n'est pas nécessaire que le juge soit convaincu de l'exactitude de l'allégué présenté, mais qu'il suffit que, sur la base d'éléments objectifs, le fait en cause soit rendu probable, sans qu'il doive pour autant exclure la possibilité que les faits aient aussi pu se dérouler autrement (ATF 130 III 321 consid. 3.3, JdT 2005 I 618, SJ 2005 I 514; ATF 120 II 393 consid. 4c; ATF 104 Ia 408). La vraisemblance requiert plus que de simples allégués: ceux-ci doivent être étayés par des éléments concrets ou des indices et être accompagnés de pièces (ATF 138 III 636 consid. 4.3.2 et 4.4; arrêt du Tribunal fédéral 5A_893/2013 du 18 février 2014 consid. 3).</w:t>
      </w:r>
    </w:p>
    <w:p>
      <w:r>
        <w:rPr>
          <w:b/>
        </w:rPr>
        <w:t>E. 2.2</w:t>
      </w:r>
    </w:p>
    <w:p>
      <w:r>
        <w:t>En l'espèce, l'appelant soutient pouvoir agir en exécution de l'accord conclu avec les promoteurs sur la base de l'art. 98 al. 3 CO. Outre le fait que cet article a été rédigé à une époque où l’exécution forcée des dettes autres que d’argent relevait exclusivement des procédures cantonales et que l’entrée en vigueur du</w:t>
      </w:r>
    </w:p>
    <w:p>
      <w:r>
        <w:t>- 9/12 -</w:t>
      </w:r>
    </w:p>
    <w:p>
      <w:r>
        <w:t>C/21063/2021 Code de procédure civile pose quelques problèmes de coordination entre les deux textes (THEVENOZ, Commentaire romand, CO I, 3ème éd., 2021, n. 1 ad art. 98 CO), il y a lieu de relever qu'en vertu du principe de la relativité des conventions, l'accord que l'appelant a prétendument conclu avec les intimées – qui ne porte toutefois qu'une seule signature sous la mention "les promoteurs" –, ne déploie aucun effet obligatoire pour les propriétaires de la parcelle concernée. Ainsi, quand bien même les intimées auraient violé leurs obligations découlant d'une convention qu'elles auraient conclue avec l'appelant, une telle violation ne permettrait vraisemblablement pas à ce dernier de contraindre les propriétaires de la parcelle sur laquelle sont plantés les arbres litigieux, pour lesquels cette convention est une res inter alios acta, à les supprimer, voire simplement les déplacer ou les remplacer. L'affirmation de l'appelant selon laquelle "il ne fait aucun doute que les intimées étaient en droit de s'engager comme elles l'ont fait" est insuffisante pour rendre vraisemblable le contraire, en l'absence de tout élément permettant de retenir que "les promoteurs" auraient agi en qualité de représentants des propriétaires dans ce cadre. L'appelant ne peut donc vraisemblablement pas se fonder sur l'accord entre les parties pour obtenir qu'il soit fait droit à ses conclusions. En outre, l'appelant soutient que s'il devait attendre l'issue d'une procédure au fond, les arbres litigieux auraient pris racines et ne pourraient pas être déplantés ou abattus, faute d'autorisation délivrée compte tenu de la grande protection dont bénéficient actuellement les arbres. Il se contente toutefois d'une simple affirmation péremptoire à cet égard. Il n'allègue en revanche aucun élément permettant de rendre vraisemblable que si les arbres peuvent être déplantés actuellement, étant relevé qu'ils ont vraisemblablement été plantés il y a plus de six mois, ils ne pourraient pas l'être ultérieurement et, à l'inverse, que les arbres qui ne pourraient être déplantés ou abattus ultérieurement pourraient encore l'être actuellement. Les explications fournies par l'appelant ne permettent par conséquent pas de rendre vraisemblable l'urgence de la situation. Enfin, l'appelant n'invoque pas à titre de préjudice difficilement réparable la perte, en elle-même, de la vue sur le lac dont il dispose depuis sa parcelle, mais la diminution de la valeur de cette dernière du fait de cette perte de vue, les parcelles profitant d'une vue sur le lac bénéficiant d'une valeur supérieure à celles qui n'en ont pas, toutes choses étant par ailleurs égales. A cet égard, la question de la possibilité de supprimer ou déterrer les arbres litigieux n'est pas déterminante, mais celle de savoir si l'appelant risque de ne pas pouvoir être dédommagé par les intimées pour cette perte de valeur s'il devait attendre l'issue – qui lui serait favorable – d'une procédure au fond. Or, l'appelant ne rend pas vraisemblable que si les arbres ne pouvaient pas être supprimés à l'issue d'une telle procédure, les intimées ne seraient alors pas en mesure de le dédommager pour cette perte de valeur s'il obtenait gain de cause. Il ne rend donc pas vraisemblable qu'il est susceptible de subir un préjudice difficilement réparable.</w:t>
      </w:r>
    </w:p>
    <w:p>
      <w:r>
        <w:t>- 10/12 -</w:t>
      </w:r>
    </w:p>
    <w:p>
      <w:r>
        <w:t>C/21063/2021 En définitive, au vu de ce qui précède, l'appelant n'as pas rendu vraisemblable que les conditions pour le prononcé des mesures requises devant la Cour sont réunies, étant relevé que les considérations qui précèdent valent mutatis mutandis pour toutes celles-ci de sorte que même recevables, elles sont, en tout état de cause, infondées.</w:t>
      </w:r>
    </w:p>
    <w:p>
      <w:r>
        <w:rPr>
          <w:b/>
        </w:rPr>
        <w:t>E. 3</w:t>
      </w:r>
    </w:p>
    <w:p>
      <w:r>
        <w:t>L'appelant, qui succombe, sera condamné aux frais judiciaires d'appel, fixés à 960 fr. et compensés avec l'avance versée par ses soins, acquise à l'Etat de Genève (art. 26 et 37 RTFMC et 111 CPC). Un montant de 1'000 fr., TVA et débours inclus, sera alloué aux intimées, prises conjointement et solidairement, à titre de dépens d'appel (art 84, 85, 88 et 90 RTFMC). * * * * *</w:t>
      </w:r>
    </w:p>
    <w:p>
      <w:r>
        <w:t>- 11/12 -</w:t>
      </w:r>
    </w:p>
    <w:p>
      <w:r>
        <w:t>C/21063/2021 PAR CES MOTIFS, La Chambre civile :</w:t>
      </w:r>
    </w:p>
    <w:p>
      <w:r>
        <w:t>A la forme : Déclare recevable l'appel interjeté le 27 janvier 2022 par A______ contre l'ordonnance OTPI/12/2022 rendue le 14 janvier 2022 par le Tribunal de première instance dans la cause C/21063/2021-16 SP. Au fond : Confirme cette ordonnance. Déboute les parties de toutes autres conclusions. Sur les frais : Met à charge de A______ les frais judiciaires d'appel, arrêtés à 960 fr. et compensés avec l'avance versée, acquise à l'Etat de Genève. Condamne A______ à verser à B______ SA et D______ SA, prises conjointement et solidairement, 1'000 fr. à titre de dépens d'appel. Siégeant : Monsieur Laurent RIEBEN, président; Madame Nathalie LANDRY-BARTHE, Madame Fabienne GEISINGER-MARIETHOZ, juges; Madame Laura SESSA, greffière.</w:t>
      </w:r>
    </w:p>
    <w:p>
      <w:r>
        <w:t>Le président : Laurent RIEBEN</w:t>
      </w:r>
    </w:p>
    <w:p>
      <w:r>
        <w:t>La greffière : Laura SESSA</w:t>
      </w:r>
    </w:p>
    <w:p>
      <w:r>
        <w:t>- 12/12 -</w:t>
      </w:r>
    </w:p>
    <w:p>
      <w:r>
        <w:t>C/21063/2021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