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ACJC/756/2019 vom 22. Mai 2019</w:t>
      </w:r>
    </w:p>
    <w:p>
      <w:r>
        <w:t>GE Cour de justice, 2019-05-22, FR</w:t>
      </w:r>
    </w:p>
    <w:p>
      <w:r>
        <w:rPr>
          <w:b/>
        </w:rPr>
        <w:t xml:space="preserve">Quelle: </w:t>
      </w:r>
      <w:r>
        <w:t>https://mcp.opencaselaw.ch/entscheid/ge_gerichte_ACJC_756_2019</w:t>
      </w:r>
    </w:p>
    <w:p>
      <w:r>
        <w:t>FR: GE_GERICHTE ACJC/756/2019 du 22 mai 2019</w:t>
      </w:r>
    </w:p>
    <w:p>
      <w:r>
        <w:t>IT: GE_GERICHTE ACJC/756/2019 del 22 maggio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- 5/10 -</w:t>
      </w:r>
    </w:p>
    <w:p>
      <w:r>
        <w:t>C/20067/2018 formulés et motivés par la partie recourante (HOHL, Procédure civile, tome II, 2ème éd. 2010, n. 2307).</w:t>
      </w:r>
    </w:p>
    <w:p>
      <w:r>
        <w:t>Les maximes des débats et de disposition s'appliquent (art. 55 al. 1, 255 lit. a a contrario et 58 al. 1 CPC).</w:t>
      </w:r>
    </w:p>
    <w:p>
      <w:r>
        <w:rPr>
          <w:b/>
        </w:rPr>
        <w:t>E. 1.3</w:t>
      </w:r>
    </w:p>
    <w:p>
      <w:r>
        <w:t>Les conclusions, allégations de fait et preuves nouvelles sont irrecevables (art. 326 al. 1 CPC).</w:t>
      </w:r>
    </w:p>
    <w:p>
      <w:r>
        <w:t>La pièce nouvelle produite par le recourant devrait par conséquent être déclarée irrecevable, ainsi que les faits qui s'y rapportent.</w:t>
      </w:r>
    </w:p>
    <w:p>
      <w:r>
        <w:t>Cependant, dans la mesure où le recourant affirme que cette pièce contiendrait une démonstration du contenu du droit étranger - dont la constatation ("Nachweis") peut être apportée par une partie aussi au stade du recours (ATF 138 III 232 consid. 4.2.4) -, sa recevabilité sera admise dans cette mesure uniquement.</w:t>
      </w:r>
    </w:p>
    <w:p>
      <w:r>
        <w:rPr>
          <w:b/>
        </w:rPr>
        <w:t>E. 2</w:t>
      </w:r>
    </w:p>
    <w:p>
      <w:r>
        <w:t>Le recourant fait grief au Tribunal d'avoir considéré qu'il était nécessaire de produire une attestation du caractère exécutoire du "Grant of Probate", alors qu'il n'avait pas sollicité la reconnaissance de cette décision. En tout état, il avait satisfait à cette exigence par la production de la "declaration" du 17 mai 2018, que le Tribunal avait ignorée, sans motivation. Le Tribunal aurait dû l'inviter à préciser ses écritures ou offres de preuves sur le caractère exécutoire du "Grant of Probate ", ce que la célérité de la procédure n'empêchait pas. Enfin, l'intimée n'avait jamais contesté le caractère exécutoire de cette décision. C'est ainsi à tort que le Tribunal avait considéré qu'il n'avait pas la légitimation active.</w:t>
      </w:r>
    </w:p>
    <w:p>
      <w:r>
        <w:rPr>
          <w:b/>
        </w:rPr>
        <w:t>E. 2.1.1</w:t>
      </w:r>
    </w:p>
    <w:p>
      <w:r>
        <w:t>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capacité d'être partie et d'ester en justice, condition d'ordre procédural, entraîne l'irrecevabilité de celle-ci (HOHL, Procédure civile, tome I, 2ème éd. 2016, p. 125).</w:t>
      </w:r>
    </w:p>
    <w:p>
      <w:r>
        <w:rPr>
          <w:b/>
        </w:rPr>
        <w:t>E. 2.1.2</w:t>
      </w:r>
    </w:p>
    <w:p>
      <w:r>
        <w:t>Dans un procès qui l'oppose à des tiers au sujet des actifs de la succession, l'exécuteur testamentaire ne fait pas valoir son propre droit matériel (ATF 84 II 324, 81 II 22 consid. 7); il résulte cependant de sa situation légale (art. 518 CC en relation avec l'art. 596 al. 1 CC) qu'il doit sauvegarder les droits successoraux en son propre nom. Dans les litiges judiciaires, l'exécuteur testamentaire peut ainsi conduire un procès en son propre nom et en tant que partie à la place de celui qui est, quant au fond, le sujet actif ou passif du droit contesté</w:t>
      </w:r>
    </w:p>
    <w:p>
      <w:r>
        <w:t>- 6/10 -</w:t>
      </w:r>
    </w:p>
    <w:p>
      <w:r>
        <w:t>C/20067/2018 ("Prozessführungsbefugnis", "Prozessstandschaft", legitimatio ad causam; ATF 116 II 131 consid. 3a et les références, arrêt du Tribunal fédéral 5C.116/2003 du 5 février 2004 consid. 2.2.2). L'exécuteur testamentaire doit alors se référer à son habilitation légale, fondée sur l'existence d'un patrimoine spécial qu'il doit administrer (ATF 116 II 131 consid. 3a; arrêt du Tribunal fédéral 5A_1036/2017 du 23 mars 2018 consid. 1.2.1).</w:t>
      </w:r>
    </w:p>
    <w:p>
      <w:r>
        <w:rPr>
          <w:b/>
        </w:rPr>
        <w:t>E. 2.1.3</w:t>
      </w:r>
    </w:p>
    <w:p>
      <w:r>
        <w:t>A teneur de l'art. 31 LDIP, les art. 25 à 29 LDIP s'appliquent par analogie à la reconnaissance et à l'exécution d'une décision ou d'un acte de la juridiction gracieuse.</w:t>
      </w:r>
    </w:p>
    <w:p>
      <w:r>
        <w:t>Selon l'art. 25 let. b LDIP, une décision étrangère est reconnue en Suisse si la décision n'est plus susceptible de recours ordinaire ou si elle est définitive.</w:t>
      </w:r>
    </w:p>
    <w:p>
      <w:r>
        <w:t>A teneur de l'art. 29 al. 1 let. b LDIP, la requête en reconnaissance ou en exécution sera accompagnée d'une attestation constatant que la décision n'est plus susceptible de recours ordinaire ou qu'elle est définitive.</w:t>
      </w:r>
    </w:p>
    <w:p>
      <w:r>
        <w:t>L'attestation visée à la let. b doit être établie par une autorité de l'Etat d'origine de la décision (DUTOIT, Commentaire droit international privé suisse, 5ème éd., 2016, n. 5 ad art. 29 LDIP). D'après le Tribunal fédéral, une telle attestation n'est pas une fin en soi. Elle n'est pas nécessaire s'il ressort indubitablement des pièces produites que la décision à reconnaître n'est plus susceptible de recours ordinaire (arrêt du Tribunal fédéral 5A_840/2009 du 30 avril 2010 consid. 2.3; ATF 102 Ia 76 consid. 2e).</w:t>
      </w:r>
    </w:p>
    <w:p>
      <w:r>
        <w:rPr>
          <w:b/>
        </w:rPr>
        <w:t>E. 2.1.4</w:t>
      </w:r>
    </w:p>
    <w:p>
      <w:r>
        <w:t>Selon le droit international privé applicable en matière successorale, l'autorité confrontée à un document issu d'un Etat étranger - par exemple une mesure de juridiction gracieuse telle que la désignation d'un exécuteur testamentaire - doit tout d'abord s'assurer que la reconnaissance de ce document est possible tant en vertu des dispositions générales (art. 25 ss LDIP) que des dispositions spéciales en matière successorale (art. 96 LDIP; ABBET, Légitimation de l'héritier et exécuteur testamentaire : problèmes de droit international privé, in Le droit des successions en Europe, 2003, p. 283).</w:t>
      </w:r>
    </w:p>
    <w:p>
      <w:r>
        <w:t>Si l'héritier ou l'exécuteur testamentaire se légitiment auprès des autorités suisses par un document étranger, l'autorité suisse concernée peut décider, à titre préalable, de la reconnaissance dudit document, sans qu'une procédure de reconnaissance n'ait à être mise en œuvre (art. 29 al. 3 cum art. 31 LDIP; cf. aussi DUTOIT, op. cit., n. 2 ad art. 96 LDIP).</w:t>
      </w:r>
    </w:p>
    <w:p>
      <w:r>
        <w:t>Cependant, l'application de l'art. 25 lit. b LDIP commande de tenir compte des particularités de la juridiction gracieuse : il ne saurait être exigé que la preuve du caractère définitif d'une décision rendue en juridiction gracieuse soit apportée, puisque ces décisions n'entrent pas en force de chose jugée formelle (voir art. 256</w:t>
      </w:r>
    </w:p>
    <w:p>
      <w:r>
        <w:t>- 7/10 -</w:t>
      </w:r>
    </w:p>
    <w:p>
      <w:r>
        <w:t>C/20067/2018 al. 2 CPC). Cependant, il faut démontrer que ces décisions sont valables et qu'elles ne peuvent plus être remises en cause sans autre condition (MÜLLER-CHEN, Zürcher Kommentar zum IPRG, 3ème éd. 2018, n. 18 et 19 ad art. 31 LDIP). Ainsi, l'absence de recours ordinaire ou le caractère définitif de la décision doivent être appréciés selon le droit étranger de l'Etat d'origine de la décision (DUTOIT, op. cit., n. 12 ad art. 25 LDIP).</w:t>
      </w:r>
    </w:p>
    <w:p>
      <w:r>
        <w:rPr>
          <w:b/>
        </w:rPr>
        <w:t>E. 2.1.5</w:t>
      </w:r>
    </w:p>
    <w:p>
      <w:r>
        <w:t>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"preuve", le droit étranger qui doit être appliqué en Suisse ne relève pas du fait; il faut donc comprendre le terme de preuve comme une constatation ("Nachweis") du droit étranger (ATF 138 III 232 consid. 4.2.4; arrêt du Tribunal fédéral 4A_65/2017 du 19 septembre 2017 consid. 2.2.1).</w:t>
      </w:r>
    </w:p>
    <w:p>
      <w:r>
        <w:t>En procédure de mainlevée, dans laquelle il est statué en procédure sommaire (art. 251 let. a CPC), l'art. 16 al. 1 1ère phr. LDIP ne s'applique pas, en raison de la célérité qui est exigée en la matière. Dès lors, le juge de la mainlevée n'a pas à constater d'office le contenu du droit étranger (ATF 140 III 456 consid. 2.3 et 2.4; arrêt du Tribunal fédéral 5A_648/2018 du 25 février 2019 destiné à la publication consid. 6.1.2).</w:t>
      </w:r>
    </w:p>
    <w:p>
      <w:r>
        <w:t>Le Tribunal fédéral a jugé qu'il appartenait en revanche au poursuivant d'établir ce droit, dans la mesure où l'on pouvait raisonnablement l'exiger de lui (art. 16 al. 1 3ème phr. LDIP), même sans y avoir été invité par le juge. Il a ajouté que, s'il n'y procédait pas, il n'y avait pas lieu d'appliquer le droit suisse, mais de rejeter la requête de mainlevée (ATF 140 III 456 consid. 2.3 et 2.4; arrêt du Tribunal fédéral 5A_648/2018 précité consid. 6.1.2).</w:t>
      </w:r>
    </w:p>
    <w:p>
      <w:r>
        <w:rPr>
          <w:b/>
        </w:rPr>
        <w:t>E. 2.1.6</w:t>
      </w:r>
    </w:p>
    <w:p>
      <w:r>
        <w:t>En procédure civile, une expertise privée ne constitue pas un moyen de preuve, mais est considérée comme un simple allégué d'une partie (ATF 141 II 433 consid. 2.6; arrêt du Tribunal fédéral 4A_565/2016 du 2 mai 2017 consid. 3.4.3). Il en va de même d'un avis de droit (arrêt 5A_261/2009 du 1er septembre 2009 consid. 1.3 et la jurisprudence citée, non publié sur ce point aux ATF 135 III 608).</w:t>
      </w:r>
    </w:p>
    <w:p>
      <w:r>
        <w:t>Ainsi, la reconnaissance d'un probate de droit anglo-saxon - soit la déclaration de validité des dispositions d'un testament - ne peut être admise, s'agissant de son caractère définitif, uniquement sur le fondement d'un avis de droit. Dans le cas d'espèce, soumis aux juridictions zurichoises, la partie avait apporté la preuve qu'aucune voie de droit ordinaire n'était ouverte selon le droit étranger</w:t>
      </w:r>
    </w:p>
    <w:p>
      <w:r>
        <w:t>- 8/10 -</w:t>
      </w:r>
    </w:p>
    <w:p>
      <w:r>
        <w:t>C/20067/2018 (Obergertich Zivilkammer II. décision du 2 août 2001 publiée in ZR 101 2002 n. 28).</w:t>
      </w:r>
    </w:p>
    <w:p>
      <w:r>
        <w:rPr>
          <w:b/>
        </w:rPr>
        <w:t>E. 2.2</w:t>
      </w:r>
    </w:p>
    <w:p>
      <w:r>
        <w:t>En l'espèce, peut demeurer indécise la question de savoir si seule une attestation du caractère exécutoire du "Grant of Probate" était nécessaire à la reconnaissance à titre préalable de ce document, sans qu'une procédure de reconnaissance ne soit mise en œuvre.</w:t>
      </w:r>
    </w:p>
    <w:p>
      <w:r>
        <w:t>En effet, même à admettre que tel n'était pas le cas, le recourant n'a de toute façon pas démontré à la lumière du droit tanzanien le caractère exécutoire de la décision le désignant comme exécuteur testamentaire.</w:t>
      </w:r>
    </w:p>
    <w:p>
      <w:r>
        <w:t>Tant la "declaration" du 17 mai 2018, que celle produite en appel du 12 février 2019, dont la teneur est identique, émanent de l'avocat tanzanien du recourant et ne font référence à aucune disposition légale ou à une case law. Elles sont ainsi insuffisantes à établir le droit étranger et, partant, le caractère exécutoire du "Grant of Probate".</w:t>
      </w:r>
    </w:p>
    <w:p>
      <w:r>
        <w:t>Le recourant soutient que son avocat était le mieux placé, "outre les juridictions tanzaniennes" pour attester du caractère exécutoire du "Grant of Probate". On comprend dès lors mal pour quelle raison il n'a pas sollicité et fourni une attestation en bonne et due forme respectant les conditions des art. 25 let. b et 29 al. 1 let. b LDIP. Le caractère probant des "declaration" produites en est d'autant affaibli.</w:t>
      </w:r>
    </w:p>
    <w:p>
      <w:r>
        <w:t>Il n'appartenait pas au Tribunal d'établir d'office le droit tanzanien, et il n'avait pas non plus à interpeller le recourant sur ce point, au vu de la célérité de la procédure sommaire, comme retenu par la jurisprudence susmentionnée. Le double échange d'écritures, provoqué par la réplique spontanée du recourant devant le premier juge, n'y change rien. Au contraire, on pouvait s'attendre à ce que celui-ci complète dans ce cadre ses allégués et son offre de preuve, sans attendre que le Tribunal ne l'interpelle, cas échéant.</w:t>
      </w:r>
    </w:p>
    <w:p>
      <w:r>
        <w:t>A cet égard, il sera encore relevé que le recourant a consacré une partie de sa requête de mainlevée à la question de sa légitimation active et qu'il admet que le Tribunal devait examiner d'office cette question. Il lui appartenait ainsi de produire d'emblée les pièces utiles à établir son droit.</w:t>
      </w:r>
    </w:p>
    <w:p>
      <w:r>
        <w:t>Le recours sera donc rejeté.</w:t>
      </w:r>
    </w:p>
    <w:p>
      <w:r>
        <w:rPr>
          <w:b/>
        </w:rPr>
        <w:t>E. 3.1</w:t>
      </w:r>
    </w:p>
    <w:p>
      <w:r>
        <w:t>Le recourant, qui succombe, supportera les frais de son recours (art. 106 al. 1 CPC).</w:t>
      </w:r>
    </w:p>
    <w:p>
      <w:r>
        <w:t>Les frais judiciaires du recours, y compris pour la décision sur effet suspensif, seront arrêté à 2'250 fr. (art. 48 et 61 OELP) et compensés avec l'avance de frais</w:t>
      </w:r>
    </w:p>
    <w:p>
      <w:r>
        <w:t>- 9/10 -</w:t>
      </w:r>
    </w:p>
    <w:p>
      <w:r>
        <w:t>C/20067/2018 du même montant versée par le recourant, acquise à l'Etat de Genève (art. 111 al. 1 CPC).</w:t>
      </w:r>
    </w:p>
    <w:p>
      <w:r>
        <w:rPr>
          <w:b/>
        </w:rPr>
        <w:t>E. 3.2</w:t>
      </w:r>
    </w:p>
    <w:p>
      <w:r>
        <w:t>Le recourant sera en outre condamné à verser à l'intimée la somme de 4'000 fr. à titre de dépens de recours, débours et TVA compris (art. 1 let. c, art. 96 et 105 al. 2 CPC; art. 85, 89 et 90 RTFMC; art. 20 al. 4, 25 et 26 LaCC). * * * * *</w:t>
      </w:r>
    </w:p>
    <w:p>
      <w:r>
        <w:t>- 10/10 -</w:t>
      </w:r>
    </w:p>
    <w:p>
      <w:r>
        <w:t>C/20067/2018 PAR CES MOTIFS, La Chambre civile : A la forme : Déclare recevable le recours interjeté par A______ contre le jugement JTPI/1901/2019 rendu le 4 février 2019 par le Tribunal de première instance dans la cause C/20067/2018-13 SML. Au fond : Le rejette. Déboute les parties de toutes autres conclusions. Sur les frais : Arrête les frais judiciaires à 2'250 fr., les met à la charge de A______ et les compense avec l'avance fournie par celui-ci qui demeure acquise à l'Etat de Genève. Condamne A______ à verser 4'000 fr. à B______ SA à titre de dépens du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