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ACJC/755/2022 vom 8. Juni 2022</w:t>
      </w:r>
    </w:p>
    <w:p>
      <w:r>
        <w:t>GE Cour de justice, 2022-06-08, FR</w:t>
      </w:r>
    </w:p>
    <w:p>
      <w:r>
        <w:rPr>
          <w:b/>
        </w:rPr>
        <w:t xml:space="preserve">Quelle: </w:t>
      </w:r>
      <w:r>
        <w:t>https://mcp.opencaselaw.ch/entscheid/ge_gerichte_ACJC_755_2022</w:t>
      </w:r>
    </w:p>
    <w:p>
      <w:r>
        <w:t>FR: GE_GERICHTE ACJC/755/2022 du 8 juin 2022</w:t>
      </w:r>
    </w:p>
    <w:p>
      <w:r>
        <w:t>IT: GE_GERICHTE ACJC/755/2022 del 8 giugno 2022</w:t>
      </w:r>
    </w:p>
    <w:p>
      <w:pPr>
        <w:pStyle w:val="Heading2"/>
      </w:pPr>
      <w:r>
        <w:t>Erwägungen</w:t>
      </w:r>
    </w:p>
    <w:p>
      <w:r>
        <w:rPr>
          <w:b/>
        </w:rPr>
        <w:t>E. 1</w:t>
      </w:r>
    </w:p>
    <w:p>
      <w:r>
        <w:t>Interjeté contre une décision finale dès lors qu'elle met fin au litige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t>Sont également recevables la réponse de l'intimée ainsi que les réplique et duplique des parties,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w:t>
      </w:r>
    </w:p>
    <w:p>
      <w:r>
        <w:t>- 8/15 -</w:t>
      </w:r>
    </w:p>
    <w:p>
      <w:r>
        <w:t>C/17917/2020</w:t>
      </w:r>
    </w:p>
    <w:p>
      <w:r>
        <w:rPr>
          <w:b/>
        </w:rPr>
        <w:t>E. 3</w:t>
      </w:r>
    </w:p>
    <w:p>
      <w:r>
        <w:t>L'appelante reproche au Tribunal d'avoir considéré que son action était prescrite. 3.1.1 L'art. 398 al. 2 CO prévoit que le mandataire est responsable envers le mandant de la bonne et fidèle obligation du mandat. Cette disposition impose au mandataire une obligation de diligence et de fidélité.</w:t>
      </w:r>
    </w:p>
    <w:p>
      <w:r>
        <w:t>L'obligation principale du mandataire consiste à mettre en œuvre une diligence raisonnable pour atteindre le but voulu par les parties et à livrer le résultat obtenu. (WERRO, in Code des obligations I, Commentaire romand, 3ème éd. 2021, art. 398 CO, n. 12 et ss). C'est au créancier qu'il incombe de prouver quelles mesures s'imposaient au débiteur dans les circonstances de l'espèce et le fait que celui-ci ait omis de les prendre (WERRO, Le mandat et ses effets, p. 305, n. 908; dans le même sens : arrêt du Tribunal fédéral 4A_350/2019 du 9 janvier 2020 consid. 3.1 et les arrêts cités). 3.1.2 Les actions fondées sur des obligations contractuelles se prescrivent, sauf disposition spéciale, par dix ans (art. 127 CO), dès que la créance est devenue exigible (art. 130 al. 1 CO).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(ATF 143 III 348 consid. 5.3; 137 III 16 consid. 2.3, 2.4.1 et 2.4.3; arrêt du Tribunal fédéral 4A_558/2017 du 29 mai 2018 consid. 5.3.1; pour une critique de cette jurisprudence, cf. PICHONNAZ, in Code des obligations I, Commentaire romand, 3ème éd. 2021, art. 130 CO, n. 5j). En cas d'omission continue d'exécuter une obligation pendant la période contractuelle, la prescription décennale de l'art. 127 CO commence en principe à courir au plus tard depuis la fin du contrat (ATF 106 II 134 consid. 2d; arrêt du Tribunal fédéral 4A_558/2017 précité, ibidem). L’existence d’un état contraire au droit reporte lui aussi le début du délai de prescription de la créance en réparation. En cas de violation d’un devoir d’information par exemple, tant qu’il n’y a pas d’information, il y a un état contraire au droit, une violation durable de l’obligation d’information; partant, le délai de prescription ne débute alors qu’au moment où l’information est donnée (PICHONNAZ, in Code des obligations I, Commentaire romand, 3ème éd. 2021, art. 130 CO, n. 4b et les arrêts cités). 3.1.3 Lorsqu'un client demande un conseil à une banque pour effectuer une transaction et que la banque donne le conseil demandé en reconnaissant l'importance de celui-ci pour la décision que le client va prendre, les parties sont liées par un contrat dit de conseil en placement (LOMBARDINI, Droit et pratique de la gestion de fortune, 3ème éd. 2008, p. 146, n. 6; cf. également parmi d'autres arrêt</w:t>
      </w:r>
    </w:p>
    <w:p>
      <w:r>
        <w:t>- 9/15 -</w:t>
      </w:r>
    </w:p>
    <w:p>
      <w:r>
        <w:t>C/17917/2020 du Tribunal fédéral 4A_54/2017 du 29 janvier 2018 consid. 5.1.3). A chaque nouveau conseil donné par la banque, un nouveau contrat de conseil est conclu. Les effets du contrat s'épuisent de façon instantanée : soit le conseil est suivi, soit il ne l'est pas. La banque n'est pas tenue d'examiner si le client va suivre le conseil donné, si ce dernier reste valable avec l'écoulement du temps ou si, la situation s'étant modifiée, le client doit entreprendre d'autres transactions. Le client qui désire ce genre de services de la part de sa banque doit lui délivrer un mandat de gestion (LOMBARDINI, op. cit., p. 147, n. 7). 3.1.4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w:t>
      </w:r>
    </w:p>
    <w:p>
      <w:r>
        <w:rPr>
          <w:b/>
        </w:rPr>
        <w:t>E. 3.2</w:t>
      </w:r>
    </w:p>
    <w:p>
      <w:r>
        <w:t>En l'espèce, le Tribunal a considéré que les parties avaient été liées par un contrat de mandat et que l'éventuelle violation de celui-ci était survenue le 9 décembre 2008, jour de sa conclusion, lorsque l'intimée avait dirigé l'appelante vers un produit ne correspondant pas à ses attentes et ne l'avait pas suffisamment informée sur celui-ci. Les prétentions découlant de cette potentielle violation contractuelle étaient dès lors prescrites depuis le 10 décembre 2018, indépendamment du fait que le dommage ne soit survenu que postérieurement à cette date. L'intimée avait certes également renseigné l'appelante de façon ponctuelle et sommaire par la suite. Il était toutefois douteux que cette activité s'inscrive dans le cadre d'un mandat. Quoi qu'il en soit, l'appelante n'avait pas suivi les conseils dispensés par l'intimée. Elle n'était pas non plus parvenue à déterminer en quoi ceux-ci auraient constitué une violation du contrat ou lui auraient causé un dommage. Il s'en suivait que le seul comportement de l'intimée susceptible d'engager sa responsabilité contractuelle avait eu lieu au plus tard le 9 décembre 2008. L'action intentée par l'appelante était par conséquent prescrite.</w:t>
      </w:r>
    </w:p>
    <w:p>
      <w:r>
        <w:t>- 10/15 -</w:t>
      </w:r>
    </w:p>
    <w:p>
      <w:r>
        <w:t>C/17917/2020</w:t>
      </w:r>
    </w:p>
    <w:p>
      <w:r>
        <w:rPr>
          <w:b/>
        </w:rPr>
        <w:t>E. 3.3</w:t>
      </w:r>
    </w:p>
    <w:p>
      <w:r>
        <w:t>Pour contester avec succès ce jugement, l'appelante, qui supportait le fardeau de la preuve sur ce point, devait démontrer que la volonté – réelle ou hypothétique – des parties avait été de conclure un contrat de mandat de durée, n'ayant pas pris fin une fois la décision de placement prise en 2008, mais ayant perduré au-delà. Il lui incombait en outre d'établir que l'intimée avait, dans ce cadre, manqué totalement à ses devoirs d'informations et de conseil, de sorte que l'on se trouvait dans un cas de violation continue du contrat par omission, dans lequel le délai de prescription peut commencer à courir à compter du moment où l'information est dispensée, voire à partir de la résiliation des rapports contractuels, de sorte que la prescription décennale n'avait pas commencé à courir en 2008. Dans l'hypothèse où une telle démonstration ne pouvait être faite, l'appelante devait expliquer en quoi le Tribunal avait violé le droit en retenant que les échanges qu'elle avait eus avec l'intimée en 2014, 2017 et 2019 étaient intervenus en dehors de toute relation contractuelle; elle devait également démontrer, que contrairement à ce qu'avait retenu le premier juge, elle avait bel et bien déterminé en première instance les raisons pour lesquels les renseignements et conseils donnés dans ce cadre constituaient une violation du contrat conclu avec l'intimée et lui avaient causé un dommage.</w:t>
      </w:r>
    </w:p>
    <w:p>
      <w:r>
        <w:t>Or, l'appelante se limite à faire valoir, devant la Cour, que les parties avaient été liées par un contrat de mandat et que l'intimée ne s'était pas cantonnée à la conseiller au moment de la conclusion du contrat d'ordre d'achat G______ le 9 décembre 2008 mais était intervenue jusqu'au 12 mars 2019, de sorte que le dies a quo ne pouvait pas se situer au 9 décembre 2008 comme retenu par le premier juge, mais devait être fixé à la date précitée, si bien que son action n'était pas prescrite. A titre subsidiaire, il convenait de s'en tenir au 19 juin 2014 ou au 31 mars 2017, dates de ses précédents contacts avec l'intimée, de sorte que la prescription décennale n'était en toute hypothèse pas atteinte. Retenir une autre solution, comme l'avait fait le Tribunal, revenait à limiter le rôle de l'intimée à celui d'un simple courtier, dont la responsabilité n'aurait pas pu être engagée au- delà de la date de conclusion du contrat.</w:t>
      </w:r>
    </w:p>
    <w:p>
      <w:r>
        <w:t>Ce faisant, l'appelante se cantonne à des affirmations superficielles sur la question du point de départ du délai de prescription. Bien que représentée par un avocat et dès lors consciente des exigences de motivation applicables au stade de l'appel, elle ne s'efforce en rien de reprendre, selon la systématique exposée ci-dessus, le raisonnement du premier juge et d'expliquer en quoi celui-ci aurait, aux diverses étapes précitées, appliqué de manière erronée les principes juridiques pertinents pour la résolution du litige. Son appel est dès lors irrecevable.</w:t>
      </w:r>
    </w:p>
    <w:p>
      <w:r>
        <w:t>A supposer qu'il convienne d'entrer en matière sur les arguments de l'appelante, le sort de la cause n'en serait pas modifié. L'intimée s'étant – à teneur des faits constatés par le premier juge et non critiqués devant la Cour – limitée à indiquer à l'appelante, en décembre 2008, quel contrat conclure aux fins d'investissement et</w:t>
      </w:r>
    </w:p>
    <w:p>
      <w:r>
        <w:t>- 11/15 -</w:t>
      </w:r>
    </w:p>
    <w:p>
      <w:r>
        <w:t>C/17917/2020 les parties n'ayant ensuite plus entretenu de contact jusqu'en 2014, leur relation peut être assimilée à un contrat de conseil en placement, lequel revêt en principe un caractère instantané et ne déploie pas d'effets dans la durée. Aucun élément du dossier ne permet de retenir, à l'inverse, que les protagonistes seraient convenus – ne serait-ce que par actes concluants – de se lier contractuellement dans la durée. L'appelante ne soutient d'ailleurs rien de tel devant la Cour et se limite à faire valoir que l'intimée l'aurait conseillée sommairement après la conclusion du contrat. Elle ne prétend à aucun moment que ces conseils traduisaient une intention commune d'entretenir des liens contractuels dans la durée, ni n'affirme qu'elle pouvait présumer l'existence de tels liens en vertu du principe de confiance. Partant, le raisonnement du Tribunal consistant à dire que l'éventuelle violation du contrat était survenue le 9 décembre 2008, jour de sa conclusion, ne peut qu'être confirmé.</w:t>
      </w:r>
    </w:p>
    <w:p>
      <w:r>
        <w:t>S'agissant des échanges intervenus en 2014, 2017 et 2019, l'appelante se borne à mentionner, dans son appel, que "le bien-fondé des conseils de l'intimée et l'impact sur le dommage allégué relevaient précisément de l'objet de l'action […] qui devait être tranchée au terme de la procédure et non pas à titre préjudiciel". En tentant ainsi de repousser à un stade ultérieur de la procédure la question de l'existence d'autres violations contractuelles, l'appelante perd de vue que l'existence de telles violations dans le cadre des échanges susmentionnés, ainsi que leur impact sur le dommage allégué, étaient déterminantes pour admettre que la prescription avait commencé à courir, non pas au mois de décembre 2008, mais à une date ultérieure, de sorte que la prescription décennale n'était pas acquise au moment de l'introduction de l'action. Or, comme déjà exposé ci-dessus, l'appelante ne tente à aucun moment d'expliquer en quoi le premier juge aurait erré en considérant qu'elle n'avait pas réussi à déterminer dans quelle mesure ces échanges recelaient une violation du contrat et avaient causé ou accru son dommage.</w:t>
      </w:r>
    </w:p>
    <w:p>
      <w:r>
        <w:t>Au vu de ce qui précède, le jugement entrepris ne peut qu'être confirmé en tant qu'il fixe le point de départ du délai de prescription de dix ans au 9 décembre 2008, date à laquelle l'intimé a conseillé à l'appelante la conclusion du contrat d'ordre d'achat G______, et refuse de reporter celui-là à une date ultérieure.</w:t>
      </w:r>
    </w:p>
    <w:p>
      <w:r>
        <w:t>L'appelante sera dès lors, en toute hypothèse, déboutée de ses conclusions tendant à l'annulation de la décision querellée et au renvoi de la cause au premier juge pour nouvelle décision dans le sens des considérants.</w:t>
      </w:r>
    </w:p>
    <w:p>
      <w:r>
        <w:rPr>
          <w:b/>
        </w:rPr>
        <w:t>E. 4</w:t>
      </w:r>
    </w:p>
    <w:p>
      <w:r>
        <w:t>L'appelante reproche au Tribunal d'avoir fixé les frais et dépens de manière disproportionnée dès lors que la procédure s'était limitée à l'examen à titre préjudiciel de l'exception de prescription.</w:t>
      </w:r>
    </w:p>
    <w:p>
      <w:r>
        <w:t>- 12/15 -</w:t>
      </w:r>
    </w:p>
    <w:p>
      <w:r>
        <w:t>C/17917/2020</w:t>
      </w:r>
    </w:p>
    <w:p>
      <w:r>
        <w:rPr>
          <w:b/>
        </w:rPr>
        <w:t>E. 4.1</w:t>
      </w:r>
    </w:p>
    <w:p>
      <w:r>
        <w:t>Conformément à l'art. 95 CPC, les frais comprennent les frais judiciaires et les dépens (al. 1). Les frais judiciaires comprennent notamment l'émolument forfaitaire de conciliation et l'émolument forfaitaire de décision (al. 2). Les dépens comprennent notamment le défraiement d’un représentant professionnel. Les cantons fixent le tarif des frais (art. 96 CPC). Les frais sont mis à la charge de la partie qui succombe (art. 106 al. 1 1ère phrase CPC). Selon l'art. 17 RTFMC, pour une valeur litigieuse comprise entre 30'001 fr. et 100'000 fr., l'émolument forfaitaire de décision est fixé entre 2'000 fr. et 8'000 fr. L'art. 5 RTFMC dispose en outre que lorsque le présent règlement fixe un barème- cadre, les émoluments et les dépens sont arrêtés compte tenu, notamment, des intérêts en jeu, de la complexité de la cause, de l'ampleur de la procédure ou de l'importance du travail qu'elle a impliqué. Conformément à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Selon l'art. 85 RTFMC, pour une valeur litigieuse comprise entre 40'000 fr. et 80'000 fr., le défraiement s'élève à 6'100 fr. plus 9% de la valeur litigieuse dépassant 40'000 fr. Il peut s'en écarter de plus ou moins 10% pour tenir compte des éléments rappelés à l'art. 84 RTFMC. Lorsqu'il y a une disproportion manifeste entre la valeur litigieuse et l'intérêt des parties au procès ou entre le taux applicable selon la présente loi et le travail effectif de l'avocat, la juridiction peut en outre fixer un défraiement inférieur ou supérieur aux taux minimums et maximums prévus (art. 23 LACC). Les débours nécessaires sont estimés, sauf éléments contraires, à 3% du défraiement et s'ajoutent à celui-ci (art. 25 LaCC). Les dépens sont fixés d'après le dossier en chiffres ronds incluant la taxe sur la valeur ajoutée (art. 26 al. 1 LaCC). Dans le cadre d'un appel contre une décision finale, l'émolument forfaitaire de décision est calculé selon les dispositions applicables aux procédures de première instance (art. 35 RTFMC). Le défraiement est réduit dans la règle d'un à deux tiers par rapport au tarif de l'art. 85 dans les procédures d'appel et de recours (art. 90 RTFMC)</w:t>
      </w:r>
    </w:p>
    <w:p>
      <w:r>
        <w:rPr>
          <w:b/>
        </w:rPr>
        <w:t>E. 4.2</w:t>
      </w:r>
    </w:p>
    <w:p>
      <w:r>
        <w:t>En l'espèce, le Tribunal a, compte tenu de la valeur litigieuse et du caractère "incident" de la décision, fixé l'émolument de décision à 5'000 fr., auxquels s'ajoutait l'émolument de conciliation en 200 fr. Il a mis ces frais à la charge de l'appelante qui succombait et les a compensés avec les avances du même montant versées par celle-ci. Eu égard à la valeur litigieuse de l'ordre de 54'434 fr. 68 (59'733 dollars US convertis au cours du 2 septembre 2020), il a chiffré le défraiement de l'avocat,</w:t>
      </w:r>
    </w:p>
    <w:p>
      <w:r>
        <w:t>- 13/15 -</w:t>
      </w:r>
    </w:p>
    <w:p>
      <w:r>
        <w:t>C/17917/2020 selon le tarif de base, à 8'190 fr. TTC. Le jugement ayant rejeté la demande sans examiner le bienfondé de la prétention, il a réduit ce montant à 4'000 fr. TTC et l'a mis à charge de l'appelante.</w:t>
      </w:r>
    </w:p>
    <w:p>
      <w:r>
        <w:rPr>
          <w:b/>
        </w:rPr>
        <w:t>E. 4.3</w:t>
      </w:r>
    </w:p>
    <w:p>
      <w:r>
        <w:t>En l'occurrence, la procédure de première instance s'est limitée au dépôt d'un mémoire de demande, à la rédaction d'une ordonnance de simplification du procès et à un bref échange d'écritures sur la question de la prescription. Aucune audience n'a été appointée et la cause ne présentait guère de complexité. Le litige a enfin pu être liquidé sans qu'il ne soit nécessaire d'examiner la totalité des questions juridiques soulevées. Dans de telles circonstances, la fixation de l'émolument de décision à 5'000 fr., correspondant à la totalité de l'avance de frais effectuée par l'appelante, ne se justifiait pas. Cet émolument sera par conséquent réduit à 3'000 fr. Après ajout de l'émolument de conciliation en 200 fr., les frais judiciaires de première instance à la charge de l'appelante s'élèvent dès lors à 3'200 fr. Le chiffre 2 du dispositif du jugement entrepris sera dès lors corrigé sur ce point. S'agissant des dépens de première instance, l'activité du conseil de l'intimée s'est limitée à prendre connaissance de la demande et des déterminations sur la prescription de l'appelante, et à déposer deux brèves écritures à ce sujet. Bien que généreux, le défraiement de 4'000 fr. accordé par le Tribunal, équivalant à</w:t>
      </w:r>
    </w:p>
    <w:p>
      <w:r>
        <w:rPr>
          <w:b/>
        </w:rPr>
        <w:t>E. 4.4</w:t>
      </w:r>
    </w:p>
    <w:p>
      <w:r>
        <w:t>Dès lors qu'elle succombe sur le fond et n'obtient gain de cause que sur le montant des frais judiciaires de première instance, l'appelante sera condamnée à l'intégralité des frais judiciaires de l'appel. La présente cause s'étant limitée à l'examen de la question de la prescription, lesdits frais seront arrêtés à 3'000 fr. et compensés avec l'avance versée par l'appelante, qui reste acquise à l'Etat de Genève. Les Services financiers du Pouvoir judiciaire seront par conséquent invités à restituer à la précitée le solde de son avance en 1'500 fr. (art. 111 al. 1 CPC). Par identité de motifs, l'appelante sera condamnée à verser à l'intimée des dépens d'appel réduits de 2'200 fr. (art. 111 al. 2 CPC), débours et TVA compris. * * * * *</w:t>
      </w:r>
    </w:p>
    <w:p>
      <w:r>
        <w:t>- 14/15 -</w:t>
      </w:r>
    </w:p>
    <w:p>
      <w:r>
        <w:t>C/17917/2020 PAR CES MOTIFS, La Chambre civile : A la forme et au fond : Rejette, dans la mesure de sa recevabilité, l'appel interjeté le 3 novembre 2021 par A______ contre les chiffres 1 et 4 du dispositif du jugement JTPI/12394/2021 rendu le 4 octobre 2021 par le Tribunal de première instance dans la cause C/17917/2020-22. Déclare recevable l'appel interjeté le 3 novembre 2021 par A______ contre les chiffres 2 et 3 du dispositif du jugement susmentionné. Annule le chiffre 2 dudit dispositif et, cela fait, statuant à nouveau : Arrête les frais judiciaires de première instance à 3'200 fr., les met à la charge de A______ et les compense avec les avances effectuées par celle-ci, acquises à l'Etat de Genève. Invite les Services financiers du Pouvoir judiciaire à restituer à A______ le solde de ses avances de frais judiciaires de première instance à hauteur de 2'000 fr. Confirme le jugement entrepris pour le surplus. Déboute les parties de toutes autres ou contraires conclusions. Sur les frais d'appel : Arrête les frais judiciaires d'appel à 3'000 fr., les met à la charge de A______ et les compense avec l'avance effectuée par la précitée, qui reste acquise à l'Etat de Genève. Invite les Services financiers du Pouvoir judiciaire à restituer à A______ le solde de son avance de frais judiciaires d'appel à hauteur de 1'500 fr.</w:t>
      </w:r>
    </w:p>
    <w:p>
      <w:r>
        <w:t>- 15/15 -</w:t>
      </w:r>
    </w:p>
    <w:p>
      <w:r>
        <w:t>C/17917/2020</w:t>
      </w:r>
    </w:p>
    <w:p>
      <w:r>
        <w:t>Condamne A______ à verser 2'200 fr. à B______ SARL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heures d'activité d'avocat au tarif-horaire de 400 fr., débours et TVA compris, n'est pas hors de proportion. Le chiffre 3 du dispositif du jugement entrepris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