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ACJC/754/2012 vom 25. Mai 2012</w:t>
      </w:r>
    </w:p>
    <w:p>
      <w:r>
        <w:t>GE Cour de justice, 2012-05-25, FR</w:t>
      </w:r>
    </w:p>
    <w:p>
      <w:r>
        <w:rPr>
          <w:b/>
        </w:rPr>
        <w:t xml:space="preserve">Quelle: </w:t>
      </w:r>
      <w:r>
        <w:t>https://mcp.opencaselaw.ch/entscheid/ge_gerichte_ACJC_754_2012</w:t>
      </w:r>
    </w:p>
    <w:p>
      <w:r>
        <w:t>FR: GE_GERICHTE ACJC/754/2012 du 25 mai 2012</w:t>
      </w:r>
    </w:p>
    <w:p>
      <w:r>
        <w:t>IT: GE_GERICHTE ACJC/754/2012 del 25 maggio 2012</w:t>
      </w:r>
    </w:p>
    <w:p>
      <w:pPr>
        <w:pStyle w:val="Heading2"/>
      </w:pPr>
      <w:r>
        <w:t>Regeste</w:t>
      </w:r>
    </w:p>
    <w:p>
      <w:r>
        <w:t>Résumé: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w:t>
      </w:r>
    </w:p>
    <w:p>
      <w:pPr>
        <w:pStyle w:val="Heading2"/>
      </w:pPr>
      <w:r>
        <w:t>Erwägungen</w:t>
      </w:r>
    </w:p>
    <w:p>
      <w:r>
        <w:rPr>
          <w:b/>
        </w:rPr>
        <w:t>E. 1.1</w:t>
      </w:r>
    </w:p>
    <w:p>
      <w:r>
        <w:t>S'agissant d'une procédure de mainlevée, soumise à la procédure sommaire, seule la voie du recours est ouverte (art. 251 let. a, 309 let. b ch. 3 et art. 319 let. a CPC).</w:t>
      </w:r>
    </w:p>
    <w:p>
      <w:r>
        <w:rPr>
          <w:b/>
        </w:rPr>
        <w:t>E. 1.2</w:t>
      </w:r>
    </w:p>
    <w:p>
      <w:r>
        <w:t>A teneur de l'art. 321 al. 1 CPC, le recours, écrit et motivé, est introduit auprès de l'instance de recours dans le délai de dix jours pour les décisions prises en procédure sommaire (art. 321 al. 2 CPC), à compter de la notification de la décision motivée. A Genève, l'instance de recours est la Chambre civile de la Cour de justice (art. 120 al. 1 lit. a LOJ). Interjeté dans le délai et les formes prévus par la loi, le recours est par conséquent recevable.</w:t>
      </w:r>
    </w:p>
    <w:p>
      <w:r>
        <w:rPr>
          <w:b/>
        </w:rPr>
        <w:t>E. 2.1</w:t>
      </w:r>
    </w:p>
    <w:p>
      <w:r>
        <w:t>Dans le cadre d'un recours, les conclusions, les allégations de faits et les preuves nouvelles sont irrecevables (art. 326 al. 1 CPC). Le recours limité au droit a pour fonction principale de vérifier la conformité au droit et n'a pas pour but de continuer la procédure de première instance. L'autorité de recours contrôle la conformité au droit de la décision attaquée, dans les mêmes conditions que celles dans lesquelles se trouvait l'autorité de première instance (HOHL, Procédure civile, tome II, p. 453, n. 2516).</w:t>
      </w:r>
    </w:p>
    <w:p>
      <w:r>
        <w:rPr>
          <w:b/>
        </w:rPr>
        <w:t>E. 2.2</w:t>
      </w:r>
    </w:p>
    <w:p>
      <w:r>
        <w:t>En l'espèce, la recourante a produit à l'appui de son recours le devis estimatif du 9 mars 2011 et le courrier d'adjudication des travaux du 14 mars 2011, documents qu'elle avait déjà soumis au premier juge. Partant, il ne s'agit pas de pièces nouvelles.</w:t>
      </w:r>
    </w:p>
    <w:p>
      <w:r>
        <w:rPr>
          <w:b/>
        </w:rPr>
        <w:t>E. 2.3</w:t>
      </w:r>
    </w:p>
    <w:p>
      <w:r>
        <w:t>L'intimée n'avait, quant à elle, pas été invitée par le premier juge à répondre à la requête de mainlevée qui avait été d'emblée rejetée comme infondée (art. 253 CPC). Elle a ainsi, pour la première fois, pu faire valoir ses arguments devant l'instance de recours. En procédure ordinaire, la partie défaillante en première instance est recevable à se prévaloir devant la Cour de faux nova (faits ou moyens de preuves qui étaient déjà survenus à la fin des débats principaux), aux conditions de l'art. 317 al. 1 CPC, lorsque c'est sans sa faute qu'elle n'a pu comparaître ou répondre (REETZ/HILBER, Kommentar zur Schweizerischen Zivilprozessordnung, 2010, n. 65 ad art. 317). En l'espèce, l'absence de réponse de l'intimée devant le premier juge n'était pas fautive. Afin de garantir le droit d'être entendu de celle-ci, il convient, par analogie avec la solution préconisée ci-dessus, d'autoriser l'intimée à présenter dans sa réponse au recours, sans limitation, tous ses moyens de défense, en fait et</w:t>
      </w:r>
    </w:p>
    <w:p>
      <w:r>
        <w:t>- 5/8 -</w:t>
      </w:r>
    </w:p>
    <w:p>
      <w:r>
        <w:t>C/22152/2011 en droit. Les allégations de l'intimée ainsi que la nouvelle pièce qui les accompagne sont ainsi recevables. Par voie de conséquence, les allégués de faits contenus dans la réplique du 5 mars 2012 de la recourante, ainsi que les pièces nos 3 à 8 produites en réponse aux allégués de sa partie adverse, bien que nouveaux, seront également déclarés recevables. La Cour considère en effet qu'il aurait été contraire au principe de célérité de renvoyer la cause au premier juge pour qu'il donne l'occasion à la partie citée de se déterminer sur la requête (art. 253 et 318 al. 1 let c CPC).</w:t>
      </w:r>
    </w:p>
    <w:p>
      <w:r>
        <w:rPr>
          <w:b/>
        </w:rPr>
        <w:t>E. 2.4</w:t>
      </w:r>
    </w:p>
    <w:p>
      <w:r>
        <w:t>Dans le cadre d'un recours, le pouvoir d'examen de la Chambre civile se limite à la violation du droit et à la constatation manifestement inexacte des faits (art. 320 CPC).</w:t>
      </w:r>
    </w:p>
    <w:p>
      <w:r>
        <w:rPr>
          <w:b/>
        </w:rPr>
        <w:t>E. 3</w:t>
      </w:r>
    </w:p>
    <w:p>
      <w:r>
        <w:t>La recourante fait grief au premier juge d'avoir considéré que les pièces produites ne valaient pas titre de mainlevée car elles n'avaient pas été signées par la partie citée.</w:t>
      </w:r>
    </w:p>
    <w:p>
      <w:r>
        <w:rPr>
          <w:b/>
        </w:rPr>
        <w:t>E. 3.1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Lorsque la qualification juridique d'un contrat est discutable, les conditions de la mainlevée doivent être réunies sur l'un et l'autre plan (arrêt du Tribunal fédéral 5A_367/2007 du 15 octobre 2007 consid. 3.1).</w:t>
      </w:r>
    </w:p>
    <w:p>
      <w:r>
        <w:rPr>
          <w:b/>
        </w:rPr>
        <w:t>E. 3.2</w:t>
      </w:r>
    </w:p>
    <w:p>
      <w:r>
        <w:t>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w:t>
      </w:r>
    </w:p>
    <w:p>
      <w:r>
        <w:t>- 6/8 -</w:t>
      </w:r>
    </w:p>
    <w:p>
      <w:r>
        <w:t>C/22152/2011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non publié 5P.174/2005 du 7 octobre 2005, consid. 2.1).</w:t>
      </w:r>
    </w:p>
    <w:p>
      <w:r>
        <w:rPr>
          <w:b/>
        </w:rPr>
        <w:t>E. 3.3</w:t>
      </w:r>
    </w:p>
    <w:p>
      <w:r>
        <w:t>Dans le cas présent, la Cour constate que le devis estimatif du 9 mars 2011 est signé par la recourante. Les éléments de ce devis sont ensuite repris intégralement, y compris le prix total de 18'000 fr., dans le courrier d'adjudication des travaux adressé par l'intimée à la recourante le 14 mars 2011. Ce courrier du 14 mars 2011 est signé par l'intimée, contrairement à ce qu'indique le jugement entrepris. L'intimée, dans sa réponse au recours, ne conteste d'ailleurs pas avoir adjugé les travaux à la recourante. Ce courrier d'adjudication des travaux du 14 mars 2011 vaut dès lors conclusion d'un contrat d'entreprise et peut être assimilé à une reconnaissance de dette dès lors que l'intimée a reconnu devoir payer à la recourante le montant total de 18'000 fr., sous réserve, naturellement, de l'exécution régulière de la prestation par la recourante. C'est donc à tort que le premier juge a dénié aux pièces produites par la requérante la qualité de titre de mainlevée. Ce constat ne conduit toutefois pas au prononcé de la mainlevée.</w:t>
      </w:r>
    </w:p>
    <w:p>
      <w:r>
        <w:rPr>
          <w:b/>
        </w:rPr>
        <w:t>E. 3.4</w:t>
      </w:r>
    </w:p>
    <w:p>
      <w:r>
        <w:t>Il a été rappelé ci-dessus que le juge doit vérifier d'office, notamment, l'identité entre le poursuivi et le débiteur désigné dans le titre de mainlevée. En l'espèce, le devis du 9 mars 2011 établi par la recourante concernait l'installation de jeux sur la toiture d'un immeuble à la rue des Falaises 4. Dans le courrier d'adjudication des travaux en faveur de la recourante, l'intimée a expressément indiqué que la facture devait être établie au nom de Mme C_______ et M. D_______, et envoyée à l'adresse de l'intimée. Ce faisant, la recourante pouvait comprendre que l'intimée n'agissait qu'en qualité de représentante (art. 32 CO) de Mme C_______ et M. D_______, ce qu'elle semble d'ailleurs avoir compris puisqu'elle a adressé sa facture du 23 mai 2011, et ses deux premiers rappels, à "Mme C_______ et M. D_______ p.a. B_______ SA". Dès lors, l'identité entre la poursuivie - l'intimée -, d'une part, et les débiteurs - Mme C_______ et M. D_______ -, d'autre part, ne peut pas être retenue ici. Partant, la mainlevée de l'opposition ne peut être prononcée.</w:t>
      </w:r>
    </w:p>
    <w:p>
      <w:r>
        <w:rPr>
          <w:b/>
        </w:rPr>
        <w:t>E. 4</w:t>
      </w:r>
    </w:p>
    <w:p>
      <w:r>
        <w:t>Il résulte de ce qui précède que le recours doit être rejeté. Le jugement entrepris sera confirmé dans son résultat, par substitution de motif.</w:t>
      </w:r>
    </w:p>
    <w:p>
      <w:r>
        <w:t>- 7/8 -</w:t>
      </w:r>
    </w:p>
    <w:p>
      <w:r>
        <w:t>C/22152/2011</w:t>
      </w:r>
    </w:p>
    <w:p>
      <w:r>
        <w:rPr>
          <w:b/>
        </w:rPr>
        <w:t>E. 5</w:t>
      </w:r>
    </w:p>
    <w:p>
      <w:r>
        <w:t>La recourante, qui succombe, sera condamnée aux frais, arrêtés à 600 fr., couverts par l'avance qu'elle a déjà opérée et qui reste acquise à l'Etat (art. 61 OELP, art. 106 et 111 CPC). La recourante sera également condamnée à payer une indemnité équitable à l'intimée, arrêtée à 300 fr., débours et TVA compris (art. 95 al. 3 let. c, 105 al. 2 et 106 al. 1 CPC; art. 85 al. 1, 89 et 90 du règlement fixant le tarif des greffes en matière civile du 22 décembre 2010 (RTFMC), E 1 05.10), cette indemnité étant justifiée par la démarche accomplie par celle-ci devant la Cour.</w:t>
      </w:r>
    </w:p>
    <w:p>
      <w:r>
        <w:rPr>
          <w:b/>
        </w:rPr>
        <w:t>E. 6</w:t>
      </w:r>
    </w:p>
    <w:p>
      <w:r>
        <w:t>La valeur litigieuse, au sens de l'art. 51 LTF, est inférieure à 30'000 fr. * * * * *</w:t>
      </w:r>
    </w:p>
    <w:p>
      <w:r>
        <w:t>- 8/8 -</w:t>
      </w:r>
    </w:p>
    <w:p>
      <w:r>
        <w:t>C/22152/2011 PAR CES MOTIFS, La Chambre civile : A la forme : Déclare recevable le recours interjeté par A_______SA contre le jugement JTPI/573/2012 rendu le 16 janvier 2012 par le Tribunal de première instance dans la cause C/22152/2011-4 SML. Au fond : Rejette ledit recours. Déboute les parties de toutes autres conclusions. Sur les frais : Arrête les frais judiciaires du recours à 600 fr. et dit qu'ils sont entièrement couverts par l'avance faite par A_______SA qui reste ainsi acquise à l'Etat. Les met à la charge de A_______SA. Condamne A_______SA à verser une indemnité de 300 fr. à B_______SA.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