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ACJC/753/2024 vom 14. Juni 2024</w:t>
      </w:r>
    </w:p>
    <w:p>
      <w:r>
        <w:t>GE Cour de justice, 2024-06-14, FR</w:t>
      </w:r>
    </w:p>
    <w:p>
      <w:r>
        <w:rPr>
          <w:b/>
        </w:rPr>
        <w:t xml:space="preserve">Quelle: </w:t>
      </w:r>
      <w:r>
        <w:t>https://mcp.opencaselaw.ch/entscheid/ge_gerichte_ACJC_753_2024</w:t>
      </w:r>
    </w:p>
    <w:p>
      <w:r>
        <w:t>FR: GE_GERICHTE ACJC/753/2024 du 14 juin 2024</w:t>
      </w:r>
    </w:p>
    <w:p>
      <w:r>
        <w:t>IT: GE_GERICHTE ACJC/753/2024 del 14 giugno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ce qui est le cas en l’espèce. L’appel a en outre été interjeté dans le délai de trente jours et selon la forme prescrite par la loi (art. 130, 131 et 311 al. 1 CPC), de sorte qu’il est recevable. Il en va de même du mémoire de réponse et d'appel joint, déposé dans le délai et la forme prescrits par la loi (art. 312 et 313 al. 1 CPC), de la réplique et de la duplique (art. 316 al. 2 CPC). Les écritures subséquentes des parties sont également recevables, celles-ci ayant fait usage de leur droit inconditionnel de répliquer dans les délais admis par la jurisprudence (ATF 146 III 97 consid. 3.4.1; 142 III 48 consid. 4.1.1; arrêts du Tribunal fédéral 5A_120/2019 du 21 août 2019 consid. 2.2; 5A_174/2016 du 25 mai 2016 consid. 3.2). Les appels seront traités dans le même arrêt (cf. art. 125 CPC). Par souci de simplification et pour respecter le rôle initial des parties devant la Cour, A______ sera désigné en qualité d'appelant et B______ en qualité d'intimée.</w:t>
      </w:r>
    </w:p>
    <w:p>
      <w:r>
        <w:rPr>
          <w:b/>
        </w:rPr>
        <w:t>E. 1.2</w:t>
      </w:r>
    </w:p>
    <w:p>
      <w:r>
        <w:t>La Cour revoit la cause avec un plein pouvoir d’examen (art. 310 CPC). En particulier, elle contrôle librement l’appréciation des preuves effectuées par le juge de première instance (art. 157 CPC en relation avec l’art. 310 let. b CPC).</w:t>
      </w:r>
    </w:p>
    <w:p>
      <w:r>
        <w:t>- 10/20 -</w:t>
      </w:r>
    </w:p>
    <w:p>
      <w:r>
        <w:t>C/14122/2021</w:t>
      </w:r>
    </w:p>
    <w:p>
      <w:r>
        <w:rPr>
          <w:b/>
        </w:rPr>
        <w:t>E. 1.3</w:t>
      </w:r>
    </w:p>
    <w:p>
      <w:r>
        <w:t>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w:t>
      </w:r>
    </w:p>
    <w:p>
      <w:r>
        <w:rPr>
          <w:b/>
        </w:rPr>
        <w:t>E. 2</w:t>
      </w:r>
    </w:p>
    <w:p>
      <w:r>
        <w:t>L'admissibilité des nova en appel est régie par l'art. 317 CPC (arrêt du Tribunal fédéral 5A_631/2018 consid. 3.2.2).</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rPr>
          <w:b/>
        </w:rPr>
        <w:t>E. 2.2</w:t>
      </w:r>
    </w:p>
    <w:p>
      <w:r>
        <w:t>En l'espèce, les parties ont toutes deux produit des pièces nouvelles en appel et l'appelant a allégué de nouveaux faits.</w:t>
      </w:r>
    </w:p>
    <w:p>
      <w:r>
        <w:t>Leur recevabilité peut souffrir de demeure indécise, compte tenu de ce qui suit.</w:t>
      </w:r>
    </w:p>
    <w:p>
      <w:r>
        <w:rPr>
          <w:b/>
        </w:rPr>
        <w:t>E. 3</w:t>
      </w:r>
    </w:p>
    <w:p>
      <w:r>
        <w:t>L'appelant a formulé un certain nombre de griefs à l'égard de l'état de fait rédigé par le Tribunal. Les éléments de faits pertinents ont été intégrés ci-dessus dans la mesure utile pour la solution du litige. Certaines des critiques formulées par l'appelant, invoquées sous l'angle de la "lacune des faits", portent sur l'appréciation des preuves et l'appréciation juridique des faits. Celles-ci seront examinées ci-dessous.</w:t>
      </w:r>
    </w:p>
    <w:p>
      <w:r>
        <w:rPr>
          <w:b/>
        </w:rPr>
        <w:t>E. 4</w:t>
      </w:r>
    </w:p>
    <w:p>
      <w:r>
        <w:t>L'appelant fait grief au Tribunal d'avoir réduit le montant de sa note d'honoraires. Pour sa part, l'intimée se plaint d'une violation des art. 28 et 31 CO, ainsi que des art. 394 et 398 CO, de même que de l'art. 148 CO.</w:t>
      </w:r>
    </w:p>
    <w:p>
      <w:r>
        <w:t>- 11/20 -</w:t>
      </w:r>
    </w:p>
    <w:p>
      <w:r>
        <w:t>C/14122/2021</w:t>
      </w:r>
    </w:p>
    <w:p>
      <w:r>
        <w:rPr>
          <w:b/>
        </w:rPr>
        <w:t>E. 4.1</w:t>
      </w:r>
    </w:p>
    <w:p>
      <w:r>
        <w:t>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4C_61/2001 du 14 juin 2001 consid. 3b, non publié in ATF 127 III 543). Conformément à la maxime des débats (art. 55 al. 1 CPC), applicable au présent litige (cf. consid. 1.3),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Après la clôture de la phase d'allégation, la présentation de nova n'est plus possible qu'aux conditions restrictives de l'art. 229 al. 1 CPC (arrêt du Tribunal fédéral 4A_70/2019 du 6 août 2019 consid. 2.5.2 publié aux ATF 146 III 55).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w:t>
      </w:r>
    </w:p>
    <w:p>
      <w:r>
        <w:t>- 12/20 -</w:t>
      </w:r>
    </w:p>
    <w:p>
      <w:r>
        <w:t>C/14122/2021 consid. 5.2.1). En vertu des art. 221 al. 1 let. e et 222 al. 2 CPC, les moyens de preuve propres à établir les faits pertinents doivent également y être indiqués (ATF 143 III 1 consid. 4.1; arrêts du Tribunal fédéral 4A_624/2021 du 8 avril 2022 consid. 6.1.1 et 4A_164/2021 du 21 décembre 2021 consid. 3.1). Les dispositions relatives à la procédure ordinaire s'appliquent par analogie aux autres procédures, notamment à la procédure simplifiée, sauf disposition contraire de la loi (art. 219 CPC; arrêt du Tribunal fédéral 4A_395/2017 du 11 octobre 2018 consid. 4.4.2). En ce qui concerne l'allégation d'une facture,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L'accès aisé n'est assuré que lorsque la pièce en question est explicite et qu'elle contient les informations nécessaires (ATF 144 III 519 consid. 5.2.1.2; arrêts du Tribunal fédéral 4A_624/2021 du 8 avril 2022 consid. 6.1.2; 4A_164/2021 du 21 décembre 2021 consid. 3.2 et 4A_535/2018 du 3 juin 2019 consid. 4.2.1). Il appartient au mandataire d'alléguer, et en cas de contestation de prouver, les prestations qu'il a fournies, de manière à permettre la détermination de la somme qu'il réclame (art. 8 CC; arrêts du Tribunal fédéral 4A_267/2010 consid. 3; 4C_61/2001 consid. 3b, non publié in ATF 127 III 543); lorsque les honoraires sont établis sur la base d'un tarif horaire, le mandataire supporte également le fardeau de la preuve - et, partant, celui de l'allégation (HOHL, Procédure civile, Tome I, 2ème éd. 2016, n. 1233 ss) - pour le temps consacré à l'exécution du mandat. La preuve ne résulte pas déjà du fait que le mandataire a fait parvenir une note d'honoraires à son mandant ou que cette note n'a pas été contestée pendant un certain temps. Le décompte produit n'est pas doté d'une force probante particulière et l'autorité ne doit pas impérativement s'y tenir, notamment lorsque d'autres éléments d'appréciation justifient de le mettre en doute (arrêt du Tribunal fédéral 4D_30/2016 du 20 octobre 2016 consid. 4).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w:t>
      </w:r>
    </w:p>
    <w:p>
      <w:r>
        <w:t>- 13/20 -</w:t>
      </w:r>
    </w:p>
    <w:p>
      <w:r>
        <w:t>C/14122/2021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rPr>
          <w:b/>
        </w:rPr>
        <w:t>E. 4.2</w:t>
      </w:r>
    </w:p>
    <w:p>
      <w:r>
        <w:t>Selon la jurisprudence et la doctrine, en cas de vices évidents, la Cour peut, sans y être tenue, appliquer le droit d'office (art. 57 CPC), même si les parties n'ont pas fait valoir de grief spécifique (ATF 142 III 413 consid. 2.2.4; arrêt du Tribunal fédéral 5A_891/2022 du 11 janvier 2024 consid. 4.3.1.; KGer ZH, arrêt du 4 avril 2013, LY110007-O/U, consid. II.3 ; KGer ZH, arrêt du 5 mai 2014, LB140016- O/U, consid.3; STAEHELIN/STAEHELIN/GROLIMUND, Zivilprozessrecht nach dem Entwurf für eine Schweizerische Zivilprozessordnung und weiteren Erlassen – unter Einbezug des internationalen Rechts, Zurich 2008§ 26 n. 5; Jeandin, Code de procedure civile, 2ème éd. 2019, n. 1 ad art. 310 CPC).</w:t>
      </w:r>
    </w:p>
    <w:p>
      <w:r>
        <w:rPr>
          <w:b/>
        </w:rPr>
        <w:t>E. 4.3</w:t>
      </w:r>
    </w:p>
    <w:p>
      <w:r>
        <w:t>En l'espèce, dans sa demande en paiement du 16 mars 2022, l'appelant a allégué avoir adressé ses factures tant à l'intimée qu'à l'ex-époux de cette dernière, après que ces derniers aient accepté sans réserve son décompte d'heures. Il a produit ledit décompte, auquel il s'est référé. Ce mode de procéder est en principe admissible, au vu de la jurisprudence rappelée ci-avant. L'intimée a, dans sa réponse, contesté la note d'honoraires, qu'elle a qualifiée d'usuraire. Lors de l'audience de débats d'instruction, l'appelant a déposé des déterminations écrites sur les allégués de la réponse, lesquelles ne contiennent aucun allégué complémentaire sur le détail des prestations qu'il dit avoir fournies. Dès lors que cette facture était contestée, il appartenait à l'appelant non seulement d'alléguer mais également de prouver le temps consacré à l'exécution du mandat, ce qu'il n'a pas fait.</w:t>
      </w:r>
    </w:p>
    <w:p>
      <w:r>
        <w:t>- 14/20 -</w:t>
      </w:r>
    </w:p>
    <w:p>
      <w:r>
        <w:t>C/14122/2021 Il résulte par ailleurs de l'audition du témoin C______, dont les déclarations ne sont pas sujettes à caution, que l'intéressé avait constaté que le "time-sheet" était entaché de nombreuses erreurs, notamment la comptabilisation d'appels téléphoniques qui n'avaient pas eu lieu, et de sept heures de travail au cours d'une même journée, sans que leur nécessité ne puisse être comprise. Le témoin avait demandé à l'appelant les détails du décompte, qu'il n'avait pas obtenus. Ainsi, le décompte d'heures ne jouit d'aucune force probante et la Cour ne peut s'y référer, plusieurs postes de celui-ci ne paraissant pas avoir été exécutés. Par conséquent, l'appelant a failli à son devoir d'allégation et a échoué à apporter la preuve du temps consacré à l'exécution du mandat, étant souligné que l'intimée a contesté tant le tarif horaire pratiqué que le montant de la note d'honoraires qu'elle a jugé excessive. Ce vice – manifeste – peut être également examiné d'office par la Cour. Il s'ensuit que l'appelant doit être intégralement débouté de ses conclusions en paiement.</w:t>
      </w:r>
    </w:p>
    <w:p>
      <w:r>
        <w:rPr>
          <w:b/>
        </w:rPr>
        <w:t>E. 4.4</w:t>
      </w:r>
    </w:p>
    <w:p>
      <w:r>
        <w:t>Le chiffre 1 du dispositif du jugement entrepris sera dès lors annulé (art. 318 al. 1 let. b CPC).</w:t>
      </w:r>
    </w:p>
    <w:p>
      <w:r>
        <w:rPr>
          <w:b/>
        </w:rPr>
        <w:t>E. 5</w:t>
      </w:r>
    </w:p>
    <w:p>
      <w:r>
        <w:t>Il sera encore retenu ce qui suit. 5.1.1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(arrêt du Tribunal fédéral 4A_444/2019 du 21 avril 2020 consid. 3.3 et les réf. citées). En tant que mandataire, le mandataire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w:t>
      </w:r>
    </w:p>
    <w:p>
      <w:r>
        <w:t>- 15/20 -</w:t>
      </w:r>
    </w:p>
    <w:p>
      <w:r>
        <w:t>C/14122/2021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(arrêt du Tribunal fédéral 4A_38/2022 du 31 octobre 2022 consid. 4.1 et les réf. cit.). La violation, par l'avocat, de son devoir de diligence constitue, du point de vue juridique, une inexécution ou une mauvaise exécution de son obligation de mandataire. Sa rémunération peut être le cas échéant réduite, voire supprimée.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En cas d'inexécution totale, soit lorsque le mandataire demeure inactif ou que ses prestations se révèlent inutiles ou inutilisables, celui-ci peut perdre son droit à la rémunération. En effet, la rémunération du mandataire n'est due que pour les prestations utiles et non pour celles qui sont inutilisables (arrêt du Tribunal fédéral 4A_38/2022 du 31 octobre 2022 consid. 4.1-4.3 et les références citées). 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(arrêts du Tribunal fédéral 4A_267/2010 du 28 juillet 2010 consid. 3; 4C_323/1999 du 22 décembre 1999 consid. 1b, in SJ 2000 I p. 485). 5.1.2 Si le mandant entend faire valoir, par exception, que le mandataire n'a pas droit à ses honoraires en raison d'une mauvaise exécution, il lui incombe d'en apporter la preuve s'il n'a pas refusé la prestation (arrêts du Tribunal fédéral 4A_267/2010 précité consid. 3; 4C_61/2001 du 14 juin 2001 consid. 3b, non publié in ATF 127 III 543). 5.1.3 Selon la grille tarifaire des médiations de la FEGEM (Fédération genevoise Médiations), la moyenne des tarifs horaires se situe entre 100 fr. et 500 fr. de l’heure. Ces tarifs peuvent fortement varier dès lors qu’il s’agit d’une médiation familiale ou commerciale.</w:t>
      </w:r>
    </w:p>
    <w:p>
      <w:r>
        <w:t>- 16/20 -</w:t>
      </w:r>
    </w:p>
    <w:p>
      <w:r>
        <w:t>C/14122/2021 Selon l'Association K______, le tarif des médiations à K______ tient compte de la situation financière et varie de 80 fr. la séance et 50 fr. pour le travail hors séance pour des revenus mensuels nets cumulés inférieurs à 4'000 fr. à 280 fr. la séance et 100 fr. pour le travail hors séance pour des revenus mensuels nets cumulés supérieurs à 12'000 fr. Enfin, selon [l'Association] L______, les tarifs sont de 130 fr. l’heure par personne, avec possibilité d’obtenir une aide financière pouvant faire baisser le tarif jusqu’à 30 fr. l'heure, en fonction du RDU (Revenu déterminant unifié).</w:t>
      </w:r>
    </w:p>
    <w:p>
      <w:r>
        <w:rPr>
          <w:b/>
        </w:rPr>
        <w:t>E. 5.2</w:t>
      </w:r>
    </w:p>
    <w:p>
      <w:r>
        <w:t>Dans le présent cas, l'appelant est médiateur civil assermenté et exerce ses activités contre rémunération. Les jurisprudences susmentionnées, concernant l'exercice de la profession d'avocat, s'appliquent au présent cas par analogie, dès lors que l'appelant doit disposer de connaissances spécifiques, pour tenter d'aboutir à une médiation, dans l'intérêt de ses clients, en vue de mettre un terme à un litige spécifique. Il en découle qu'il peut être attendu de l'appelant qu'il conseille et oriente ses mandants de manière avisée. L'appelant n'a pas allégué disposer de compétences spécifiques en droit de la famille, et tout particulièrement en matière de mesures protectrices de l'union conjugale. Il ne résulte pas non plus de la procédure qu'il aurait informé l'intimée et l'ex-époux de cette dernière de ce fait. Il est établi que la convention que l'appelant a établie n'a pas pu être ratifiée par le juge chargé de la procédure de mesures protectrices, de sorte que cette convention a été de peu d'utilité pour l'intimée et son ex-époux. Le témoin C______ a d'ailleurs déclaré que l'absence d'homologation de la convention avait créé des tensions supplémentaires avec l'intimée. Il a également exposé que la médiation, entièrement dirigée par l'appelant, avait abouti à dresser les ex-époux l'un contre l'autre. Ne disposant pas des connaissances nécessaires pour conseiller utilement les ex-époux B______/C______ sur les points devant être réglés dans le cadre de la procédure de mesures protectrices, l'appelant n'a pas respecté les règles communément admises pour l'activité en cause. Il sera relevé que l'intimée a pourtant transmis à l'appelant le projet de requête de mesures protectrices de l'union conjugale préparée par son avocat. Comme retenu supra (consid. 4.2), l'appelant n'a pas apporté la preuve des heures qu'il dit avoir consacrées à la médiation. L'appelant, qui a rencontré l'intimée sur un site de rencontres, s'est volontairement abstenu d'informer l'ex-époux de l'intimée de ce fait, qui revêtait pourtant une importante particulière dans le contexte d'une médiation familiale. Le témoin C______ a confirmé que s'il avait été informé de la relation sentimentale unissant les parties, il n'aurait pas fait appel à l'appelant comme médiateur. Cette attitude</w:t>
      </w:r>
    </w:p>
    <w:p>
      <w:r>
        <w:t>- 17/20 -</w:t>
      </w:r>
    </w:p>
    <w:p>
      <w:r>
        <w:t>C/14122/2021 dénote un manque d'indépendance et de partialité de l'appelant, qui constitue un manquement grave à ses obligations. L'appelant, qui avait pourtant connaissance de la situation financière précaire de l'intimée, a fait fi de ce fait et n'a également pas tenu compte de l'octroi de l'assistance juridique accordée à l'intimée, pour trois séances de médiation. De plus, l'appelant n'a pas, alors que l'application Règlement suisse de médiation commerciale des Chambres des commerce suisse d'avril 2017 a été prévue – ce qui semble insolite, dès lors qu'il ne s'agit pas d'un litige commercial – procédé selon les règles spécifiques dudit Règlement, notamment soumis aux Chambres la requête de médiation et le médiateur proposé par les mandants. Les Chambres n'ont ainsi pas confirmé la nomination de l'appelant en qualité de médiateur, en violation des dispositions du Règlement. Ne disposant pas des compétences nécessaires à une médiation familiale, le tarif horaire de 350 fr. est excessif. C'est dès lors à bon droit que le Tribunal a fixé le tarif horaire à un montant raisonnable de 150 fr. Dès lors que la convention préparée par l'appelant, non ratifiable puisqu'elle portait sur de nombreux points relevant de la procédure de divorce, il se justifie de retrancher 7 heures du décompte établi par l'appelant, de même que la moitié de 3 heures de séances de médiation prises en charge par l'assistance juridique, de sorte que le décompte d'heures peut être, à ce stade, établi à 49h35 (58h05 – 7 h – 1h30). A un tarif horaire de 150 fr., cela représente des honoraires de 7'437 fr. 50, auxquels s'ajoute la TVA (7.7%), soit un montant total de 8'010 fr. 20. Dès lors que l'appelant a encaissé, auprès de C______, un montant total de 11'466 fr. 80, il a perçu une somme supérieure à celle arrêtée ci-avant. Il n'a toutefois pas été tenu compte des heures que l'intimée et le témoin C______ ont indiqué ne pas avoir été faites par l'appelant, compte tenu des développements qui précèdent, ni des autres critères de réduction, liés aux manquements retenus supra.</w:t>
      </w:r>
    </w:p>
    <w:p>
      <w:r>
        <w:rPr>
          <w:b/>
        </w:rPr>
        <w:t>E. 5.3</w:t>
      </w:r>
    </w:p>
    <w:p>
      <w:r>
        <w:t>Par conséquent, aucun montant n'est dû par l'intimée. Compte tenu de ce qui précède, il n'est par conséquent pas nécessaire d'examiner les autres griefs des parties.</w:t>
      </w:r>
    </w:p>
    <w:p>
      <w:r>
        <w:rPr>
          <w:b/>
        </w:rPr>
        <w:t>E. 6.1</w:t>
      </w:r>
    </w:p>
    <w:p>
      <w:r>
        <w:t>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w:t>
      </w:r>
    </w:p>
    <w:p>
      <w:r>
        <w:t>- 18/20 -</w:t>
      </w:r>
    </w:p>
    <w:p>
      <w:r>
        <w:t>C/14122/2021</w:t>
      </w:r>
    </w:p>
    <w:p>
      <w:r>
        <w:rPr>
          <w:b/>
        </w:rPr>
        <w:t>E. 6.2</w:t>
      </w:r>
    </w:p>
    <w:p>
      <w:r>
        <w:t>En l'espèce, le montant des frais judiciaires de première instance, arrêté à 2'520 fr., n'est pas remis en cause par les parties et est conforme au règlement applicable (RTFMC), de sorte qu'il sera confirmé. Ils seront mis à la charge de l'appelant, qui succombe intégralement et compensés avec l'avance de frais fournie, acquise à l'Etat de Genève (art. 111 al. 1 CPC). Le chiffre 2 du dispositif du jugement querellé sera dès lors réformé en ce sens. Les frais de l'appel et de l'appel joint seront arrêtés à 1'800 fr., mis à la charge de l'appelant, compensés à due concurrence avec l'avance fournie, de 900 fr., acquise à l'Etat de Genève (art. 111 al. 1 CPC). L'appelant sera dès lors condamné à verser 900 fr. aux Services financiers du Pouvoir judiciaire. Il sera également condamné à verser à l'intimée des dépens de 4'500 fr., débours et TVA inclus, pour les deux instances (art. 84, 85 et 90 RTFMC, art. 25 et 26 LaCC). Le chiffre 3 du dispositif du jugement sera dès lors modifié en ce sens. * * * * *</w:t>
      </w:r>
    </w:p>
    <w:p>
      <w:r>
        <w:t>- 19/20 -</w:t>
      </w:r>
    </w:p>
    <w:p>
      <w:r>
        <w:t>C/14122/2021 PAR CES MOTIFS, La Chambre civile : A la forme : Déclare recevables l'appel interjeté le 14 septembre 2023 par A______ contre le jugement JTPI/8050/2023 rendu le 10 juillet 2023 par le Tribunal de première instance dans la cause C/14122/2021 et l'appel joint formé le 2 novembre 2023 par B______ contre ce même jugement. Au fond : Annule ce jugement. Cela fait et statuant à nouveau : Déboute A______ de ses conclusions en paiement. Déboute les parties de toutes autres conclusions. Sur les frais : Arrête les frais judiciaires des deux instances à 4'320 fr., compensés à due concurrence avec les avances fournies, acquises à l'Etat de Genève. Les met à la charge de A______. Condamne A______ à verser 900 fr. aux Services financiers du Pouvoir judiciaire. Condamne A______ à verser à B______ 4'500 fr. à titre de dépens des deux instances. Siégeant : Madame Jocelyne DEVILLE-CHAVANNE, présidente; Madame Verena PEDRAZZINI RIZZI, Madame Nathalie LANDRY-BARTHE, juges; Madame Camille LESTEVEN, greffière.</w:t>
      </w:r>
    </w:p>
    <w:p>
      <w:r>
        <w:t>- 20/20 -</w:t>
      </w:r>
    </w:p>
    <w:p>
      <w:r>
        <w:t>C/14122/2021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