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ACJC/752/2013 vom 24. Januar 2013</w:t>
      </w:r>
    </w:p>
    <w:p>
      <w:r>
        <w:t>GE Cour de justice, 2013-01-24, FR</w:t>
      </w:r>
    </w:p>
    <w:p>
      <w:r>
        <w:rPr>
          <w:b/>
        </w:rPr>
        <w:t xml:space="preserve">Quelle: </w:t>
      </w:r>
      <w:r>
        <w:t>https://mcp.opencaselaw.ch/entscheid/ge_gerichte_ACJC_752_2013</w:t>
      </w:r>
    </w:p>
    <w:p>
      <w:r>
        <w:t>FR: GE_GERICHTE ACJC/752/2013 du 24 janvier 2013</w:t>
      </w:r>
    </w:p>
    <w:p>
      <w:r>
        <w:t>IT: GE_GERICHTE ACJC/752/2013 del 24 gennaio 2013</w:t>
      </w:r>
    </w:p>
    <w:p>
      <w:pPr>
        <w:pStyle w:val="Heading2"/>
      </w:pPr>
      <w:r>
        <w:t>Erwägungen</w:t>
      </w:r>
    </w:p>
    <w:p>
      <w:r>
        <w:rPr>
          <w:b/>
        </w:rPr>
        <w:t>E. 1.1</w:t>
      </w:r>
    </w:p>
    <w:p>
      <w:r>
        <w:t>Le jugement attaqué constitue une décision finale et la valeur litigieuse, au vu notamment de la contribution d'entretien litigieuse de 1'000 fr. par mois, est supérieure à 10'000 fr.</w:t>
      </w:r>
    </w:p>
    <w:p>
      <w:r>
        <w:t>La voie de l'appel est dès lors ouverte (art. 308 al. 1 let. a et al. 2 CPC).</w:t>
      </w:r>
    </w:p>
    <w:p>
      <w:r>
        <w:t>Déposé dans les délais utiles et selon la forme prescrite par la loi (art. 130, 131, 308 al. 1 let. a et 311 CPC), l'appel est recevable.</w:t>
      </w:r>
    </w:p>
    <w:p>
      <w:r>
        <w:rPr>
          <w:b/>
        </w:rPr>
        <w:t>E. 1.2</w:t>
      </w:r>
    </w:p>
    <w:p>
      <w:r>
        <w:t>La cognition de la Cour est complète (art. 310 CPC).</w:t>
      </w:r>
    </w:p>
    <w:p>
      <w:r>
        <w:rPr>
          <w:b/>
        </w:rPr>
        <w:t>E. 2</w:t>
      </w:r>
    </w:p>
    <w:p>
      <w:r>
        <w:t>Les parties sont de nationalités respectivement française et chinoise et ont leur domicile en Suisse depuis plusieurs années.</w:t>
      </w:r>
    </w:p>
    <w:p>
      <w:r>
        <w:t>En conséquence, les tribunaux genevois sont compétents (art. 59 et 63 al. 1 LDIP) et le droit suisse est applicable aux effets accessoires du divorce encore litigieux (art. 63 al. 2 LDIP ; art. 4 de la Convention de la Haye sur la loi applicable aux obligations alimentaires du 2 octobre 1973 - RS 0.211.213.01).</w:t>
      </w:r>
    </w:p>
    <w:p>
      <w:r>
        <w:rPr>
          <w:b/>
        </w:rPr>
        <w:t>E. 3.1</w:t>
      </w:r>
    </w:p>
    <w:p>
      <w:r>
        <w:t>Les faits et moyens de preuve nouveaux ne sont pris en compte que s'ils sont invoqués ou produits sans retard (a) et s'ils ne pouvaient être invoqués ou produits devant la première instance bien que la partie qui s'en prévaut ait fait preuve de la diligence requise (b) (art. 317 al. 1 CPC). Dans la procédure de divorce, la maxime des débats s'applique à la procédure concernant le régime matrimonial et la contribution d'entretien (art. 277 al. 1 CPC).</w:t>
      </w:r>
    </w:p>
    <w:p>
      <w:r>
        <w:rPr>
          <w:b/>
        </w:rPr>
        <w:t>E. 3.2</w:t>
      </w:r>
    </w:p>
    <w:p>
      <w:r>
        <w:t>En l'espèce, pour la première fois en appel, l'appelante d'une part allègue qu'elle serait atteinte d'une leucémie lymphatique chronique, laquelle aurait nécessité une chimiothérapie en 2009 et engendrerait des frais médicaux importants. Elle produit à l'appui de cet allégué une attestation médicale. D'autre part, alors qu'elle avait reconnu ce point en première instance, elle conteste le fait que l'intimé vive avec sa fille et sa compagne et sollicite l'audition de cette dernière. Cependant, l'appelante n'explique pas pour quelle raison elle n'a pas mentionné sa maladie en première instance alors celle-ci se serait déclarée il y a plus de quatre ans ni pourquoi elle n'a pas contesté le concubinage de son ex- époux et offert de prouver son inexistence plus tôt. Dans la mesure où la procédure d'appel, circonscrite à la contribution à l'entretien de l'appelante et aux modalités de paiement par l'intimé d'une indemnité équitable au sens de l'art. 124 CC, est soumise à la maxime des débats (cf. point 4.1 en ce qui concerne l'indemnité de l'art. 124 CC), l'art. 317 CPC relatif à l'invocation et</w:t>
      </w:r>
    </w:p>
    <w:p>
      <w:r>
        <w:t>- 6/12 -</w:t>
      </w:r>
    </w:p>
    <w:p>
      <w:r>
        <w:t>C/8062/2011 la production de faits et de moyens de preuve nouveaux s'applique strictement. En conséquence, les allégués nouveaux de l'appelante ayant trait à sa maladie et à l'absence de concubinage de l'intimé sont irrecevables, tout comme l'attestation médicale du 26 février 2013. Il n'y a ainsi pas lieu de donner suite à la demande d'audition de la compagne de ce dernier.</w:t>
      </w:r>
    </w:p>
    <w:p>
      <w:r>
        <w:rPr>
          <w:b/>
        </w:rPr>
        <w:t>E. 4.1</w:t>
      </w:r>
    </w:p>
    <w:p>
      <w:r>
        <w:t>L'art. 122 CC institue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(ATF 129 III 257 consid. 3.2). Il existe une impossibilité de partage au sens de l'art. 124 CC lorsque l'un des conjoints est affilié auprès d'une institution de prévoyance non soumise à la LFLP, ce qui est le cas des fonctionnaires internationaux (arrêts du Tribunal fédéral 5A_495/2012, consid. 3.1; 5A_691/2009 du 5 mars 2009, consid. 2.1; 5A_83/2008 du 28 avril 2008, consid. 3.3 in FamPra.ch 2008 p. 913). Dans la détermination du montant de cette indemnité, le juge doit appliquer les règles du droit et de l'équité (art. 4 CC), c'est-à-dire prendre en considération toutes les circonstances importantes du cas concret (arrêt du Tribunal fédéral 5A_83/2008 du 28 avril 2008, consid. 5.1 in FamPra.ch 2008 p. 913; ATF 133 III 401 consid. 3.2 = JdT 2007 I p. 356). Selon la jurisprudence,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(ATF 129 III 481 consid. 3.3; arrêt du Tribunal fédéral 5A_796/2011 du 5 avril 2012, consid. 5.3). En l'absence d'avoirs partageables, le conjoint concerné est tenu de s'acquitter de l'indemnité équitable au moyen de ses ressources personnelles, par le versement d'un capital ou sous forme de rente (ATF 131 III 1 consid. 4.3.1; arrêt du Tribunal fédéral 5A_842/2011 du 24 février 2012, consid. 4.3.1). Si sa situation patrimoniale le permet, la préférence doit être donnée au règlement en capital, le cas échéant payable par mensualités (acomptes). Ces modalités de versement présupposent toutefois l'existence d'un tel capital, le paiement de la somme concernée étant transmissible héréditairement (ATF 131 III 1 précité, consid. 4.3.1; arrêts du Tribunal fédéral 5A_842/2011 du 24 février 2012,</w:t>
      </w:r>
    </w:p>
    <w:p>
      <w:r>
        <w:t>- 7/12 -</w:t>
      </w:r>
    </w:p>
    <w:p>
      <w:r>
        <w:t>C/8062/2011 consid. 4.3.2). Lorsque le débiteur ne dispose pas de liquidités suffisantes pour assumer le règlement de l'indemnité de la manière susvisée et qu'il perçoit des versements réguliers du fait de son invalidité, il convient d'opter pour un paiement sous forme de rente, laquelle est, sauf convention contraire, intransmissible héréditairement (ATF 131 III 1 consid. 4.3.1 et 4.3.3; arrêt du Tribunal fédéral 5A_842/2011 du 24 février 2012, consid. 4.3.2).</w:t>
      </w:r>
    </w:p>
    <w:p>
      <w:r>
        <w:rPr>
          <w:b/>
        </w:rPr>
        <w:t>E. 4.2</w:t>
      </w:r>
    </w:p>
    <w:p>
      <w:r>
        <w:t>En l'espèce, l'appelante ne remet pas en cause le montant de 30'000 fr. fixé par le premier juge au titre d'indemnité équitable au sens de l'art. 124 CC. Dans la mesure où ce point est soumis à la maxime de disposition conformément à la jurisprudence susmentionnée, le calcul de l'indemnité n'a pas à être réexaminé d'office en appel et son montant est acquis aux débats.</w:t>
      </w:r>
    </w:p>
    <w:p>
      <w:r>
        <w:t>L'appelante critique en revanche les modalités de paiement de l'indemnité, reprochant au Tribunal d'avoir ordonné le versement sous forme d'une rente en lieu et place d'un capital, à verser en une fois par l'intimé voire directement par la Caisse commune des pensions du personnel des Nations Unies (CCPPNU). L'appelante se méprend en qualifiant le mode de paiement retenu par le Tribunal de rente. En réalité, le premier juge a considéré, du moins de manière implicite, qu'un paiement en capital devait être ordonné mais que l'intimé, ne disposant pas des ressources nécessaires pour acquitter le montant de 30'000 fr. en une fois, verserait l'indemnité par des acomptes mensuels de 500 fr. Il s'agit donc d'examiner si un paiement échelonné est fondé en l'espèce.</w:t>
      </w:r>
    </w:p>
    <w:p>
      <w:r>
        <w:t>L'appelante ne précise pas quels seraient les éléments de fortune dont disposerait l'intimé et n'a pas non plus sollicité de celui-ci qu'il fournisse des pièces à cet égard. Elle n'allègue ni ne prouve par ailleurs que la part de bénéfice de son ex- époux sur la vente de leur bien immobilier n'aurait pas été utilisée. Il n'est donc pas établi que l'intimé dispose d'une quelconque fortune. Son revenu - pouvant être arrêté à 6'978 fr. 60 compte tenu de sa rémunération en 2011 - ne lui permet pas non plus d'acquitter l'indemnité en une seule fois.</w:t>
      </w:r>
    </w:p>
    <w:p>
      <w:r>
        <w:t>Au surplus, l'appelante ne remet pas en cause le montant des mensualités fixées par le premier juge, de sorte que la Cour ne peut les revoir.</w:t>
      </w:r>
    </w:p>
    <w:p>
      <w:r>
        <w:t>Partant, le grief est infondé et le jugement querellé sera confirmé sur ce point.</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w:t>
      </w:r>
    </w:p>
    <w:p>
      <w:r>
        <w:t>- 8/12 -</w:t>
      </w:r>
    </w:p>
    <w:p>
      <w:r>
        <w:t>C/8062/2011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 dans cette mesure, il doit être tenu compte de la maladie ou de l'invalidité dudit conjoint dans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w:t>
      </w:r>
    </w:p>
    <w:p>
      <w:r>
        <w:t>- 9/12 -</w:t>
      </w:r>
    </w:p>
    <w:p>
      <w:r>
        <w:t>C/8062/2011</w:t>
      </w:r>
    </w:p>
    <w:p>
      <w:r>
        <w:rPr>
          <w:b/>
        </w:rPr>
        <w:t>E. 5.2</w:t>
      </w:r>
    </w:p>
    <w:p>
      <w:r>
        <w:t>En l'espèce, les parties divergent d'opinion au sujet de la durée effective de leur union. L'appelante allègue s'être séparée de son ex-conjoint après son retour de Chine, en avril 2010, alors que l'intimé affirme que la vie commune s'est achevée à la fin de l'année 2003 et que, par la suite, les parties n'ont entretenu des relations intimes qu'à quelques reprises. A l'instar du premier juge, il y a lieu de retenir que la vie commune des parties a pris fin au plus tard au mois de mars 2006. En effet, ces dernières ont procédé à la vente de leur appartement commun le 21 mars 2006, moment où l'intimé vivait déjà au chemin ______ avec sa compagne et sa fille née une année auparavant, peu avant d'emménager avec celles-ci dans un autre appartement sis dans la même rue et loué à son nom. A la suite de la vente du bien immobilier, l'appelante a emménagé dans un appartement sous-loué à Onex. A cette période, les parties avaient entrepris toutes les démarches en vue d'un divorce amiable en France. En ce qui concerne le bail du studio sis ______, occupé par l'appelante depuis le 1er septembre 2007, les explications de l'intimé selon lesquelles il a cosigné le contrat afin de garantir le paiement du loyer sans cependant y avoir jamais habité sont crédibles. En effet, les faibles revenus déclarés par l'ex-épouse ne lui permettaient pas de prendre seul à bail un appartement, d'une part. D'autre part, la taille du logement répond davantage aux besoins d'une seule personne que d'un couple. Par ailleurs, l'appelante a indiqué avoir sous-loué le studio lorsqu'elle est partie en Chine, de la fin de l'année 2008 à avril 2010; contrairement à ce qu'elle laisse entendre, l'intimé n'avait ainsi ni sa résidence, ni son domicile à la rue ______. Enfin, s'il apparaît, certes, que le couple a envisagé de divorcer en 2003 et 2004, il n'existe pas d'éléments suffisants pour retenir, comme le souhaiterait l'intimé, que les parties se sont séparées en 2003 déjà.</w:t>
      </w:r>
    </w:p>
    <w:p>
      <w:r>
        <w:t>Ainsi, l'union effective des parties n'a pas duré plus de quatre ans, et elle est dès lors présumée n'avoir pas eu d'influence concrète sur la situation financière de l'appelante. En outre, aucun enfant n'est issu de cette union, l'appelante était âgée d'un peu mois de 40 ans au moment de la séparation et elle ne démontre ni même n'allègue précisément avoir décidé de renoncer à une activité professionnelle en Suisse ou en Chine à la suite de son mariage avec l'intimé. Elle se contente d'affirmer à cet égard qu'elle a été femme au foyer à son arrivée en Suisse, ce que l'intimé conteste, expliquant que son ex-épouse a continuellement eu une activité économique en Chine, pays dans lequel elle se rendait régulièrement.</w:t>
      </w:r>
    </w:p>
    <w:p>
      <w:r>
        <w:t>L'appelante argue que dès le prononcé du divorce, elle aura à sa charge des impôts ainsi que des frais d'assurance maladie qu'elle ne pourrait assumer. Or, le fait que l'appelante ait été exemptée de ces charges durant l'union des parties ne suffit pas en soi à créer une situation digne de protection. Par ailleurs, au vu des faibles revenus déclarés, sa charge fiscale restera insignifiante (25 fr. par année, selon la</w:t>
      </w:r>
    </w:p>
    <w:p>
      <w:r>
        <w:t>- 10/12 -</w:t>
      </w:r>
    </w:p>
    <w:p>
      <w:r>
        <w:t>C/8062/2011 simulation faite à l'aide du logiciel mis à disposition par l'Etat de Genève, https://ge.ch/afcaelp1dmapublic/2013/sfjsp?interviewID=form). L'appelante ne peut non plus se prévaloir de ce qu'elle aurait été empêchée de travailler en Suisse dès lors qu'elle ne démontre pas que telle aurait été sa volonté. Au surplus, elle n'explique pas pour quelle raison elle n'a pas repris l'activité d'agent de voyage indépendant qu'elle exerçait avant le mariage.</w:t>
      </w:r>
    </w:p>
    <w:p>
      <w:r>
        <w:rPr>
          <w:b/>
        </w:rPr>
        <w:t>E. 5.3</w:t>
      </w:r>
    </w:p>
    <w:p>
      <w:r>
        <w:t>L'appelante est en outre en mesure de pourvoir à son propre entretien. A cet égard, son niveau de vie depuis la séparation est déterminant, celle-ci ayant duré plus longtemps que la vie commune, durant laquelle le train de vie des parties n'est en tout état pas établi. La seule charge alléguée par l'appelante consiste dans son loyer de 805 fr. par mois, auquel s'ajoutent son minimum vital de 1'200 fr., d'éventuels impôts et une prime d'assurance maladie et accident. Elle déclare retirer de son activité commerciale en Chine un salaire limité à 2'000 fr. par mois. Cependant, un tel revenu, certes attesté par des fiches de salaire d'une société chinoise, ne correspond pas aux versements effectués sur son compte bancaire, en moyenne deux fois plus élevés et irréguliers. Les explications de l'appelante selon lesquelles une partie de cet argent sert à des achats de marchandise destinée à être envoyée en Chine ne sont pas assez précises et étayées pour être considérées comme établies. L'appelante ne livre en outre pas assez d'indications sur son activité professionnelle permettant de déterminer sa nature exacte et le bénéfice net qu'elle en retire. De même, elle ne donne aucune explication au sujet des versements effectués en espèces sur son compte. Il n'apparaît pas non plus qu'elle ait eu besoin d'une aide extérieure pour subvenir à ses besoins. Le seul fait que sa carte de crédit présente un solde négatif de 5'225 fr. 05 au mois de décembre 2011 ne démontre pas une éventuelle situation d'indigence.</w:t>
      </w:r>
    </w:p>
    <w:p>
      <w:r>
        <w:t>Ainsi, l'appelante n'apporte pas la preuve que le revenu qu'elle tire de son activité lucrative ne lui permet pas de couvrir les charges courantes auxquelles elle doit faire face depuis la séparation des parties.</w:t>
      </w:r>
    </w:p>
    <w:p>
      <w:r>
        <w:t>Au vu de ce qui précède, l'appel n'est pas fondé sur ce point et le jugement querellé sera confirmé.</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w:t>
      </w:r>
    </w:p>
    <w:p>
      <w:r>
        <w:t>- 11/12 -</w:t>
      </w:r>
    </w:p>
    <w:p>
      <w:r>
        <w:t>C/8062/2011 En l'espèce, les frais judiciaires de la présente décision sont fixés à 1'000 fr. (art. 96 CPC cum art. 30 et 35 du Règlement fixant le tarif des frais en matière civile, RTFMC - E 1 05.10). Vu la nature du litige, ils seront supportés à part égale par chaque partie, qui garde à sa charge ses propres dépens. L'appelante étant au bénéfice de l'assistance juridique, les frais judiciaires à sa charge sont provisoirement supportés par l'Etat. Les frais et leur répartition tels que fixés en première instance seront confirmés, dans la mesure où ils sont conforme aux normes susmentionnées et où ils ne sont pas remis en cause par les parties. * * * * *</w:t>
      </w:r>
    </w:p>
    <w:p>
      <w:r>
        <w:t>- 12/12 -</w:t>
      </w:r>
    </w:p>
    <w:p>
      <w:r>
        <w:t>C/8062/2011 PAR CES MOTIFS, La Chambre civile : A la forme : Déclare recevable l'appel interjeté par A______ contre les chiffres 2 et 4 du dispositif du jugement JTPI/1334/2013 rendu le 24 janvier 2013 par le Tribunal de première instance dans la cause C/8062/2011-13. Au fond : Le rejette. Confirme le jugement querellé. Statuant sur les frais d'appel : Arrête les frais judiciaires à 1'000 fr. et les met à la charge de chacune des parties par moitié. Dit que les frais judiciaires à la charge de A______ sont provisoirement supportés par l’Etat de Genève. Dit que chaque partie supporte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