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ACJC/749/2024 vom 11. Juni 2024</w:t>
      </w:r>
    </w:p>
    <w:p>
      <w:r>
        <w:t>GE Cour de justice, 2024-06-11, FR</w:t>
      </w:r>
    </w:p>
    <w:p>
      <w:r>
        <w:rPr>
          <w:b/>
        </w:rPr>
        <w:t xml:space="preserve">Quelle: </w:t>
      </w:r>
      <w:r>
        <w:t>https://mcp.opencaselaw.ch/entscheid/ge_gerichte_ACJC_749_2024</w:t>
      </w:r>
    </w:p>
    <w:p>
      <w:r>
        <w:t>FR: GE_GERICHTE ACJC/749/2024 du 11 juin 2024</w:t>
      </w:r>
    </w:p>
    <w:p>
      <w:r>
        <w:t>IT: GE_GERICHTE ACJC/749/2024 del 11 giugno 2024</w:t>
      </w:r>
    </w:p>
    <w:p>
      <w:pPr>
        <w:pStyle w:val="Heading2"/>
      </w:pPr>
      <w:r>
        <w:t>Erwägungen</w:t>
      </w:r>
    </w:p>
    <w:p>
      <w:r>
        <w:rPr>
          <w:b/>
        </w:rPr>
        <w:t>E. 1</w:t>
      </w:r>
    </w:p>
    <w:p>
      <w:r>
        <w:t>1.1.1 L'article 99 al. 1 CPC prévoit que le demandeur doit, sur requête du défendeur et pour autant que l'une ou l'autre des conditions énumérées sous lettres a à d soit remplie, fournir des sûretés en garantie du paiement des dépens.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 SOMM/HASENBÖHLER/LEUENBERGER (éd.), 3ème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2017, n° 5 ad art. 99 CPC; STERCHI, in Berner Kommentar ZPO, Kommentar zum schweizerischen Privatrecht, 2012, n° 10 ad art. 99 LPC). 1.1.2 Le demandeur doit, sur requête du défendeur, fournir des sûretés en garantie du paiement des dépens notamment s’il est débiteur de frais d’une procédure antérieure (art. 99 al. 1 let. c CPC). 1.1.3 L’art. 85 RTFMC prévoit, pour une valeur litigieuse comprise entre 1'000’0000 fr. et 4'000'000 fr., des dépens de 31'400 fr., plus 1% de la valeur litigieuse dépassant 1'000'000 fr. Le défraiement est réduit dans la règle d’un à deux tiers par rapport au tarif de l’art. 85 dans les procédures d’appel et de recours (art. 90 RTFMC). Les débours nécessaires sont estimés, sauf éléments contraires, à 3% du défraiement et s’ajoutent à celui-ci (art. 25 LaCC).</w:t>
      </w:r>
    </w:p>
    <w:p>
      <w:r>
        <w:t>- 4/5 -</w:t>
      </w:r>
    </w:p>
    <w:p>
      <w:r>
        <w:t>C/1565/2021 La juridiction fixe les dépens d’après le dossier en chiffres ronds incluant la taxe sur la valeur ajoutée (art. 26 al. 1 LaCC). 1.2.1 En l’espèce, la citée n’a pas contesté être redevable à l’égard de la requérante de dépens à hauteur de 27'000 fr. sur la base d’un jugement du 28 septembre 2020 rendu par le Tribunal de première instance de C______ [ZH], désormais entré en force, de sorte que la condition de l’art. 99 al. 1 let. c CPC est remplie. La citée n’a d’ailleurs pas contesté le principe du versement de sûretés en garantie des dépens de sa partie adverse. 1.2.2 Afin de calculer le montant des sûretés, il sera tenu compte de la valeur litigieuse de 1'841'476 fr., de sorte que, conformément à l’art. 85 RTFMC, les dépens alloués pourraient s’élever à 39'814 fr. L’art. 90 RTFMC prévoit toutefois, pour les procédures de deuxième instance, une réduction d’un à deux tiers. Une réduction de deux-tiers conduirait par conséquent à la fixation de dépens à hauteur de 13'271 fr. et d’un tiers à concurrence de 26'543 fr. Dans la mesure où il convient également de tenir compte des débours (3%) et de la TVA (8%), le montant des sûretés réclamé par la requérante et accepté par la citée paraît adéquat. Le montant des sûretés sera ainsi arrêté, en chiffres ronds, à 27'000 fr. Un délai de trente jours sera imparti à la citée pour le verser en espèces ou sous forme de garantie d'une banque établie en Suisse ou d'une société d'assurance autorisée à exercer en Suisse. Si les sûretés ne devaient pas être versées à l'échéance d'un délai supplémentaire, la Cour n'entrera pas en matière sur l'appel (art. 101 al. 1 et 3 CPC).</w:t>
      </w:r>
    </w:p>
    <w:p>
      <w:r>
        <w:rPr>
          <w:b/>
        </w:rPr>
        <w:t>E. 2</w:t>
      </w:r>
    </w:p>
    <w:p>
      <w:r>
        <w:t>Il sera statué sur les frais et dépens de l'incident avec la décision au fond (art. 104 al. 3 CPC). * * * * *</w:t>
      </w:r>
    </w:p>
    <w:p>
      <w:r>
        <w:t>- 5/5 -</w:t>
      </w:r>
    </w:p>
    <w:p>
      <w:r>
        <w:t>C/1565/2021 PAR CES MOTIFS, La Chambre civile : Statuant sur requête en constitution de sûretés en garantie des dépens : Déclare recevable la requête en constitution de sûretés en garantie des dépens formée le</w:t>
      </w:r>
    </w:p>
    <w:p>
      <w:r>
        <w:rPr>
          <w:b/>
        </w:rPr>
        <w:t>E. 7</w:t>
      </w:r>
    </w:p>
    <w:p>
      <w:r>
        <w:t>mai 2024 par A______ SA à l’encontre de B______ AG dans la cause C/1565/2021. Impartit à B______ AG un délai de 30 jours dès notification du présent arrêt pour fournir aux Services financiers du Pouvoir judiciaire des sûretés d'un montant de 27'000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Dit qu'il sera statué sur les frais et dépens de l'incident avec la décision sur le fond. Déboute les parties de toutes autres conclusions. Siégeant : Madame Paola CAMPOMAGNANI, présidente; Monsieur Laurent RIEBEN et Monsieur Ivo BUETTI, juges; Madame Sophie MARTINEZ, greffière.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