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ACJC/749/2023 vom 14. Juni 2023</w:t>
      </w:r>
    </w:p>
    <w:p>
      <w:r>
        <w:t>GE Cour de justice, 2023-06-14, FR</w:t>
      </w:r>
    </w:p>
    <w:p>
      <w:r>
        <w:rPr>
          <w:b/>
        </w:rPr>
        <w:t xml:space="preserve">Quelle: </w:t>
      </w:r>
      <w:r>
        <w:t>https://mcp.opencaselaw.ch/entscheid/ge_gerichte_ACJC_749_2023</w:t>
      </w:r>
    </w:p>
    <w:p>
      <w:r>
        <w:t>FR: GE_GERICHTE ACJC/749/2023 du 14 juin 2023</w:t>
      </w:r>
    </w:p>
    <w:p>
      <w:r>
        <w:t>IT: GE_GERICHTE ACJC/749/2023 del 14 giugno 2023</w:t>
      </w:r>
    </w:p>
    <w:p>
      <w:pPr>
        <w:pStyle w:val="Heading2"/>
      </w:pPr>
      <w:r>
        <w:t>Erwägungen</w:t>
      </w:r>
    </w:p>
    <w:p>
      <w:r>
        <w:rPr>
          <w:b/>
        </w:rPr>
        <w:t>E. 1.1</w:t>
      </w:r>
    </w:p>
    <w:p>
      <w:r>
        <w:t>L'appel est recevable contre les décisions finales de première instance, dans les causes dont la valeur litigieuse, au dernier état des conclusions devant l'autorité inférieure, est supérieure à 10'000 fr. (art. 308 al. 1 let. a et al. 2 CPC). La valeur litigieuse étant, en l'espèce, supérieure à 10'000 fr., la voie de l'appel est ouverte.</w:t>
      </w:r>
    </w:p>
    <w:p>
      <w:r>
        <w:rPr>
          <w:b/>
        </w:rPr>
        <w:t>E. 1.2</w:t>
      </w:r>
    </w:p>
    <w:p>
      <w:r>
        <w:t>L'appel, formé en temps utile et selon la forme prescrite par la loi (art. 130, 131 et 311 al. 1 CPC), est recevable.</w:t>
      </w:r>
    </w:p>
    <w:p>
      <w:r>
        <w:rPr>
          <w:b/>
        </w:rPr>
        <w:t>E. 1.3</w:t>
      </w:r>
    </w:p>
    <w:p>
      <w:r>
        <w:t>L'appelante conclut à l'irrecevabilité des réponses à appel.</w:t>
      </w:r>
    </w:p>
    <w:p>
      <w:r>
        <w:rPr>
          <w:b/>
        </w:rPr>
        <w:t>E. 1.3.1</w:t>
      </w:r>
    </w:p>
    <w:p>
      <w:r>
        <w:t>Si l'appel n'est pas (suffisamment) motivé, le CPC ne permet pas à l'instance d'appel de décider sur la base du dossier. Il en va autrement de la réponse à l'appel, qui sert en premier lieu à donner à l'intimé l'occasion de se déterminer. Pour autant qu'il n'exerce pas d'appel joint (art. 313 CPC), il n'a plus aucune influence sur l'objet du litige. Il n'est dès lors pas obligé de se déterminer sur l'appel. S'il ne dépose pas de réponse, l'instance d'appel peut en principe statuer sur la base du dossier ou assigner des débats (ATF 144 III 394 consid. 4.1.1; arrêts du Tribunal fédéral 4A_659/2011 du 7 décembre 2011 consid. 3; 5A_438/2012 du 27 août 2012 consid. 2.4). Le juge d'appel n'est en principe lié ni par les arguments, ni par l'exposé de l'intimé (ATF 144 III 394 consid. 4.1.2 et 4.1.3, note BASTONS BULLETTI in CPC Online (newsletter du 13.09.2018)). Si toutefois il dépose une réponse, celle-ci doit répondre aux mêmes exigences que l'appel. Ainsi, si l'intimé, dans sa réponse, n'a pas critiqué un constat de fait du premier juge, le juge d'appel n'est pas tenu de revoir de lui-même l'appréciation de l'état de fait à cet égard; il peut au contraire considérer ce point comme acquis (arrêt du Tribunal fédéral 4A_496/2016 du 8 décembre 2016 consid. 2.2.2).</w:t>
      </w:r>
    </w:p>
    <w:p>
      <w:r>
        <w:rPr>
          <w:b/>
        </w:rPr>
        <w:t>E. 1.3.2</w:t>
      </w:r>
    </w:p>
    <w:p>
      <w:r>
        <w:t>En l'espèce, contrairement à ce que soutient l'appelante, les réponses des intimés sont recevables. Les intimés ne contestent ni l'état de fait retenu par le premier juge ni le raisonnement juridique, de sorte qu'ils se rallient au jugement querellé. Une telle prise de position est ainsi recevable.</w:t>
      </w:r>
    </w:p>
    <w:p>
      <w:r>
        <w:rPr>
          <w:b/>
        </w:rPr>
        <w:t>E. 1.4</w:t>
      </w:r>
    </w:p>
    <w:p>
      <w:r>
        <w:t>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w:t>
      </w:r>
    </w:p>
    <w:p>
      <w:r>
        <w:t>- 11/17 -</w:t>
      </w:r>
    </w:p>
    <w:p>
      <w:r>
        <w:t>C/28/2021</w:t>
      </w:r>
    </w:p>
    <w:p>
      <w:r>
        <w:rPr>
          <w:b/>
        </w:rPr>
        <w:t>E. 1.5</w:t>
      </w:r>
    </w:p>
    <w:p>
      <w:r>
        <w:t>Par souci de clarté, B______ sera désigné ci-après l'intimé n° 1 et C______ l'intimé n° 2.</w:t>
      </w:r>
    </w:p>
    <w:p>
      <w:r>
        <w:rPr>
          <w:b/>
        </w:rPr>
        <w:t>E. 2</w:t>
      </w:r>
    </w:p>
    <w:p>
      <w:r>
        <w:t>L'appelante reproche au Tribunal d'avoir procédé à une constatation inexacte des faits sur plusieurs points. Pour tenir compte de ces griefs, l'état de fait présenté ci- dessus a été rectifié et complété dans la mesure nécessaire, sur la base des actes et pièces de la procédure.</w:t>
      </w:r>
    </w:p>
    <w:p>
      <w:r>
        <w:rPr>
          <w:b/>
        </w:rPr>
        <w:t>E. 3</w:t>
      </w:r>
    </w:p>
    <w:p>
      <w:r>
        <w:t>Le Tribunal a considéré qu'aucune volonté commune ne pouvait être dégagée au sujet de la question de savoir si la convention du 8 novembre 2010 avait remplacé ou s'était superposée à celle du 5 octobre 2009. Il y avait donc lieu d'interpréter les accords conclus par les parties en application du principe de la confiance. Les termes employés dans les trois dernières conventions laissaient comprendre que celles-ci portaient sur le même objet et la dernière convention mentionnait qu'elle se substituait à tout accord signé par les parties dans cette affaire. Il ne se justifiait pas de s'écarter du sens littéral du texte de la convention du 8 novembre 2010 signée par les parties, texte qui était clair et sans ambiguïté. Les termes de l'accord devaient être objectivement compris comme signifiant que celui-ci se substituait à toute autre convention signée par les parties s'agissant du départ anticipé de l'appelante des locaux concernés. Cette dernière convention, qui avait été exécutée, avait remplacé l'accord du 5 octobre 2009 dont l'appelante ne pouvait plus tirer aucune prétention à l'égard des intimés. L'appelante reproche au Tribunal d'avoir considéré qu'aucune volonté commune ne pouvait être dégagée concernant le cumul de l'indemnité pour la résiliation anticipée de son contrat de bail avec l'indemnité de 170'000 fr. en compensation de l'impossibilité d'acheter un appartement à moitié prix. En outre, elle fait grief au Tribunal d'avoir erré dans l'interprétation selon le principe de la confiance, celle-ci menant également au cumul des deux indemnités.</w:t>
      </w:r>
    </w:p>
    <w:p>
      <w:r>
        <w:rPr>
          <w:b/>
        </w:rPr>
        <w:t>E. 3.1</w:t>
      </w:r>
    </w:p>
    <w:p>
      <w:r>
        <w:t>Selon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Pour déterminer l'objet et le contenu d'un contrat, le juge doit – en vertu de l'art. 18 al. 1 CO –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w:t>
      </w:r>
    </w:p>
    <w:p>
      <w:r>
        <w:t>- 12/17 -</w:t>
      </w:r>
    </w:p>
    <w:p>
      <w:r>
        <w:t>C/28/2021 L'appréciation de ces indices concrets par le juge, selon son expérience générale de la vie, relève du fait (ATF 144 III 93 consid. 5.2.2).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La détermination de la volonté objective des parties est une question de droit. Pour la trancher, il faut cependant se fonder sur le contenu des manifestations de volonté et sur les circonstances, lesquelles relèvent du fait. Les circonstances déterminantes à cet égard sont uniquement celles qui ont précédé ou accompagné la manifestation de volonté, et non les événements postérieurs (ATF 144 III 93 consid. 5.2.3; 130 III 417 consid. 3.2). Ainsi, la question de savoir si les parties ont conclu un accord est soumise au principe de la priorité de la volonté subjective sur la volonté objective. Lorsque les parties se sont exprimées de manière concordante (échange de manifestations de volonté concordantes; übereinstimmende Willenserklärungen), qu'elles se sont effectivement comprises et, partant, ont voulu se lier, il y a accord de fait (tatsächlicher Konsens); si au contraire, alors qu'elles se sont comprises, elles ne sont pas parvenues à s'entendre, ce dont elles étaient d'emblée conscientes, il y a un désaccord patent (offener Dissens) et le contrat n'est pas conclu. Subsidiairement, si les parties se sont exprimées de manière concordante mais que l'une ou les deux n'ont pas compris la volonté interne de l'autre, ce dont elles n'étaient pas conscientes dès le début, il y a désaccord latent (versteckter Dissens) et le contrat est conclu dans le sens objectif que l'on peut donner à leurs déclarations de volonté selon le principe de la confiance; en pareil cas, l'accord est de droit (ou normatif) (ATF 144 III 93 consid. 5.2).</w:t>
      </w:r>
    </w:p>
    <w:p>
      <w:r>
        <w:rPr>
          <w:b/>
        </w:rPr>
        <w:t>E. 3.2</w:t>
      </w:r>
    </w:p>
    <w:p>
      <w:r>
        <w:t>En l'espèce, il y a tout d'abord lieu de déterminer si les parties ont manifesté une réelle et commune intention s'agissant du contenu des quatre conventions qu'elles ont conclu.</w:t>
      </w:r>
    </w:p>
    <w:p>
      <w:r>
        <w:t>- 13/17 -</w:t>
      </w:r>
    </w:p>
    <w:p>
      <w:r>
        <w:t>C/28/2021</w:t>
      </w:r>
    </w:p>
    <w:p>
      <w:r>
        <w:rPr>
          <w:b/>
        </w:rPr>
        <w:t>E. 3.2.1</w:t>
      </w:r>
    </w:p>
    <w:p>
      <w:r>
        <w:t>L'appelante soutient, à bien la comprendre, que la troisième convention remplaçait la première et que la quatrième convention remplaçait la deuxième, de sorte qu'elle pouvait prétendre à une indemnité de 300'000 fr., TVA en sus et sous déduction d'un acompte de 100'000 fr., soit au total 222'800 fr. – montant qu'elle a perçu suite à la procédure ayant abouti au jugement JTPI/7994/2016 du 17 juin 2016 – ainsi qu'à une indemnité de 170'000 fr. La première indemnité visait à la dédommager pour la résiliation anticipée de son bail et la perte de son fonds de commerce. S'agissant du but de la seconde indemnité, l'appelante a varié dans les versions présentées au premier juge. Elle a d'abord allégué que cette indemnité visait à remplacer le montant de 190'000 fr. initialement prévu, puis a déclaré qu'elle servait à compenser l'impossibilité d'acheter un appartement à moitié prix. Cela étant, ces deux explications ne remettent pas en cause sa thèse selon laquelle la troisième convention remplaçait la première puisque les deux options précitées (les 190'000 fr. et l'achat d'un appartement à moitié prix) figuraient dans la première convention. Dans sa perception interne, sa volonté était donc de prévoir deux indemnités distinctes. Ceci est corroboré par le fait qu'elle a adressé le 1er septembre 2011 – soit avant toute procédure – un courriel aux intimés par lequel elle réclamait le paiement des deux indemnités et par le fait qu'elle avait indiqué en 2013, dans le cadre d'un projet d'acquisition d'habitation, à son conseiller en assurance et conseiller financier ainsi qu'à une banque qu'elle devait percevoir les deux indemnités – ce que le témoin N______ a confirmé, tout en précisant qu'ils attendaient des éléments de réponse sur le montant exact des fonds propres. Selon le témoin M______, l'appelante lui avait indiqué qu'en sus des 322'800 fr., elle devait pouvoir acquérir un appartement à moitié prix, ce qui confirme l'explication précitée de l'appelante selon laquelle la quatrième convention et la première convention coexistaient dans sa perception interne.</w:t>
      </w:r>
    </w:p>
    <w:p>
      <w:r>
        <w:rPr>
          <w:b/>
        </w:rPr>
        <w:t>E. 3.2.2</w:t>
      </w:r>
    </w:p>
    <w:p>
      <w:r>
        <w:t>Cette double indemnité existait également durant une certaine période dans l'esprit des intimés. En effet, l'intimé n° 2 a déclaré, en parlant de la troisième convention, qu'il avait pu, avec son associé, proposer à l'appelante des indemnités de 300'000 fr. et de 170'000 fr. mais qu'au vu de l'évolution du dossier, il n'était ensuite plus envisageable de verser 470'000 fr. au total, raison pour laquelle les intimés avaient proposé à l'appelante une indemnité de 170'000 fr. pour solde de tout compte. Cette explication est également corroborée par le fait qu'initialement, la convention indiquait en toutes lettres "quatre cent septante mille francs suisses" et ensuite le "quatre" a été raturé par les parties. A cela s'ajoute que la convention indique également qu'elle annule et remplace la convention du 28 août 2008, soit la deuxième convention, ou, en d'autres termes, celle qui prévoyait une indemnité de 300'000 fr. Ainsi, cette troisième convention servait, selon les intimés, à convenir d'une seule et unique indemnité de 170'000 fr. en faveur de l'appelante.</w:t>
      </w:r>
    </w:p>
    <w:p>
      <w:r>
        <w:t>- 14/17 -</w:t>
      </w:r>
    </w:p>
    <w:p>
      <w:r>
        <w:t>C/28/2021 La quatrième convention a ensuite permis aux intimés, selon leur perception, d'augmenter l'indemnité globale allouée à l'appelante à 300'000 fr., TVA en sus, puisqu'aux dires de l'intimé n° 2, ils avaient "bien gagné [leur] vie" une fois le projet terminé. Or, l'autorisation de construire n'a été délivrée qu'en 2013, soit trois ans après la signature de la quatrième convention, de sorte que l'explication donnée par l'intimé n° 2 pour l'augmentation de l'indemnité due à l'appelante n'est pas crédible. Cela étant, cette incohérence est sans conséquence et ne signifie pas forcément que la perception interne des intimés a changé à ce moment-là. Il en va de même de l'absence de réponse des intimés au courriel de l'appelante du 1er septembre 2011. Le silence des intimés sur la mise en demeure de l'appelante ne valant pas forcément acceptation ou reconnaissance de dette. En revanche, le fait que les intimés aient souhaité conditionner en 2014 le paiement des 222'800 fr. (soit les 300'000 fr. d'indemnité + 22'800 fr. de TVA – 100'000 fr. d'acompte) à la signature par l'appelante d'un solde de tout compte confirme que la perception interne des intimés n'a pas changé. En effet, cette condition supplémentaire imposée par les intimés est compréhensible et cohérente dans leur perception interne puisque dès 2011, l'appelante a requis des intimés le paiement de 170'000 fr. en sus des 222'800 fr. La volonté des intimés de s'assurer que l'appelante ne viendrait pas leur réclamer de montant supplémentaire après paiement des 222'800 fr. démontre, au contraire, que, dans leur perception, seule la convention du 8 novembre 2010 les liait à l'appelante. Enfin, le fait que le jugement JTPI/7994/2016 du 17 juin 2016 ait statué différemment sur cette question dans un contexte différent ne lie pas la Cour de céans. En tout état, ce n'est pas parce que les intimés n'avaient pas le droit, selon ce jugement, de subordonner le paiement de l'indemnité à la signature d'une quittance pour "solde de compte", que les intimés n'avaient pas la volonté, au moment de signer la quatrième convention, de remplacer le montant prévu dans la troisième convention comme cela ressort d'ailleurs du texte de la quatrième convention.</w:t>
      </w:r>
    </w:p>
    <w:p>
      <w:r>
        <w:rPr>
          <w:b/>
        </w:rPr>
        <w:t>E. 3.2.3</w:t>
      </w:r>
    </w:p>
    <w:p>
      <w:r>
        <w:t>Force est ainsi de constater que, lorsque les parties ont signé la troisième et la quatrième convention, elles n'avaient pas compris la volonté interne de l'autre, ce dont elles n'étaient pas conscientes au moment de la signature de ces conventions. Il y a ainsi un désaccord latent et ces deux conventions ont été conclues dans le sens objectif que l'on peut donner aux déclarations de volonté des parties selon le principe de la confiance, comme l'a retenu le premier juge.</w:t>
      </w:r>
    </w:p>
    <w:p>
      <w:r>
        <w:rPr>
          <w:b/>
        </w:rPr>
        <w:t>E. 3.3</w:t>
      </w:r>
    </w:p>
    <w:p>
      <w:r>
        <w:t>A ce propos, contrairement à ce que prétend l'appelante, son courriel du 1er septembre 2011, l'absence de réaction des intimés à ce courriel ou ses échanges de 2013 avec des tiers, soit des évènements postérieurs à la conclusion du contrat, sont sans pertinence dans le cadre d'une interprétation selon le principe de la confiance. Seules les circonstances qui ont précédé ou accompagné la manifestation de volonté sont déterminantes à ce stade du raisonnement.</w:t>
      </w:r>
    </w:p>
    <w:p>
      <w:r>
        <w:t>- 15/17 -</w:t>
      </w:r>
    </w:p>
    <w:p>
      <w:r>
        <w:t>C/28/2021 A ce propos, les textes des conventions sont clairs et sans équivoque sur le fait que chacune des conventions se substituait à la précédente. A défaut de clauses ambiguës, l'appelante ne peut prétendre à ce que les conventions soient interprétées en défaveur de leurs auteurs. Ainsi, l'appelante pouvait et devait raisonnablement comprendre que l'indemnité prévue dans la troisième convention remplaçait les indemnités prévues précédemment entre les parties et que celle prévue dans la quatrième convention remplaçait l'indemnité prévue dans la troisième convention. Les intimés pouvaient en outre se fier à l'attitude de l'appelante, laquelle a signé lesdites conventions sans préciser qu'elle entendait toujours réclamer deux indemnités. Ceci d'autant plus que l'appelante a apposé sa signature à trois reprises sur la troisième convention – une fois à proximité du "quatre" barré, une fois vers son nom et une fois à proximité de la mention manuscrite indiquant "A payer à l'autorisation de construire en force" – mais n'a pas fait rectifier la date prétendument erronée du 28 août 2008 ou n'a pas ajouté qu'elle entendait réclamer plus que ce qui était prévu dans cette troisième convention. C'est par conséquent à juste titre que le Tribunal a retenu que le principe de la confiance permettait d'imputer à l'appelante le sens objectif de sa déclaration et de son comportement précité, même si ceux-ci ne correspondaient pas à sa volonté intime, et l'a déboutée de ses conclusions. Le jugement querellé sera donc confirmé.</w:t>
      </w:r>
    </w:p>
    <w:p>
      <w:r>
        <w:rPr>
          <w:b/>
        </w:rPr>
        <w:t>E. 4</w:t>
      </w:r>
    </w:p>
    <w:p>
      <w:r>
        <w:t>Les frais judiciaires d'appel seront arrêtés à 6'000 fr. (art. 95 al. 1 let. a et al. 2, 104 al. 1 et 105 al. 1 CPC; art. 5, 17 et 35 RTFMC), mis à la charge de l'appelante qui succombe (art. 106 al. 1, 1ère phrase CPC) et compensés avec l'avance de frais fournie par elle, acquise à l'Etat de Genève (art. 111 al. 1 CPC). Les dépens d'appel seront arrêtés à 6'000 fr., débours et TVA inclus (art. 95 al. 1 let. b et al. 3, 96 et 105 al. 2 CPC; art. 84, 85 et 90 RTFMC, 25 et 26 LaCC). L'appelante, qui succombe intégralement, sera en conséquence condamnée à verser ce montant à l'intimé n° 1 à titre de dépens d'appel (art. 106 al. 1, 1ère phrase et 111 al. 2 CPC). Il ne sera pas alloué de dépens d'appel à l'intimé n° 2, celui-ci n'ayant pas eu recours à une représentation professionnelle et n'ayant pas allégué avoir engagé de frais susceptibles de justifier une indemnité équitable (cf. art. 95 al. 3 let. c CPC). * * * * *</w:t>
      </w:r>
    </w:p>
    <w:p>
      <w:r>
        <w:t>- 16/17 -</w:t>
      </w:r>
    </w:p>
    <w:p>
      <w:r>
        <w:t>C/28/2021 PAR CES MOTIFS, La Chambre civile :</w:t>
      </w:r>
    </w:p>
    <w:p>
      <w:r>
        <w:t>A la forme : Déclare recevable l'appel interjeté le 2 novembre 2022 par A______ contre le jugement JTPI/11098/2022 rendu le 26 septembre 2022 par le Tribunal de première instance dans la cause C/28/2021-17. Au fond : Confirme le jugement entrepris. Déboute les parties de toutes autres conclusions. Sur les frais : Arrête les frais judiciaires à 6'000 fr., les met à la charge de A______ et les compense avec l'avance de frais de même montant qu'elle a versée et qui reste acquise à l'Etat de Genève. Condamne A______ à verser 6'000 fr. à B______ à titre de dépens d'appel. Dit qu'il n'est pas alloué de dépens d'appel à C______. Siégeant : Monsieur Laurent RIEBEN, président; Monsieur Patrick CHENAUX, Madame Fabienne GEISINGER-MARIETHOZ, juges; Madame Sandra CARRIER, greffière. Le président : Laurent RIEBEN</w:t>
      </w:r>
    </w:p>
    <w:p>
      <w:r>
        <w:t>La greffière : Sandra CARRIER</w:t>
      </w:r>
    </w:p>
    <w:p>
      <w:r>
        <w:t>- 17/17 -</w:t>
      </w:r>
    </w:p>
    <w:p>
      <w:r>
        <w:t>C/28/2021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