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ACJC/746/2023 vom 7. Juni 2023</w:t>
      </w:r>
    </w:p>
    <w:p>
      <w:r>
        <w:t>GE Cour de justice, 2023-06-07, FR</w:t>
      </w:r>
    </w:p>
    <w:p>
      <w:r>
        <w:rPr>
          <w:b/>
        </w:rPr>
        <w:t xml:space="preserve">Quelle: </w:t>
      </w:r>
      <w:r>
        <w:t>https://mcp.opencaselaw.ch/entscheid/ge_gerichte_ACJC_746_2023</w:t>
      </w:r>
    </w:p>
    <w:p>
      <w:r>
        <w:t>FR: GE_GERICHTE ACJC/746/2023 du 7 juin 2023</w:t>
      </w:r>
    </w:p>
    <w:p>
      <w:r>
        <w:t>IT: GE_GERICHTE ACJC/746/2023 del 7 giugno 2023</w:t>
      </w:r>
    </w:p>
    <w:p>
      <w:pPr>
        <w:pStyle w:val="Heading2"/>
      </w:pPr>
      <w:r>
        <w:t>Erwägungen</w:t>
      </w:r>
    </w:p>
    <w:p>
      <w:r>
        <w:rPr>
          <w:b/>
        </w:rPr>
        <w:t>E. 1.1</w:t>
      </w:r>
    </w:p>
    <w:p>
      <w:r>
        <w:t>L'appel est recevable contre les décisions de première instance sur mesures provisionnelles (art. 308 al. 1 let. b CPC), dans les causes non patrimoniales ou dont la valeur, au dernier état des conclusions de première instance, est de 10'000 fr. au moins (art. 308 al. 2 CPC). En l'espèce, le litige est de nature patrimoniale, dès lors qu'il porte sur la contribution due à l'entretien d'un enfant mineur. Compte tenu de la quotité des contributions contestées en première instance, la valeur litigieuse, capitalisée selon l'art. 92 al. 2 CPC, est supérieure à 10'000 fr. La voie de l'appel est dès lors ouverte. L'appel, formé par écrit et motivé (art. 130, 131 et 311 al. 1 CPC), a été interjeté dans le délai utile de dix jours (art. 142 al. 1 et 3, art. 314 al. 1 CPC). Il est ainsi recevable.</w:t>
      </w:r>
    </w:p>
    <w:p>
      <w:r>
        <w:rPr>
          <w:b/>
        </w:rPr>
        <w:t>E. 1.2</w:t>
      </w:r>
    </w:p>
    <w:p>
      <w:r>
        <w:t>La Cour revoit la cause en fait et en droit avec un plein pouvoir d'examen (art. 310 CPC), dans la limite des griefs suffisamment motivés qui sont formulés (arrêts du Tribunal fédéral 4A_290/2014 du 1er septembre 2014 consid. 5; 5A_89/2014 du 15 avril 2014 consid. 5.3.2). La présente cause est soumise aux maximes d'office et inquisitoire illimitée en tant qu'elle concerne un enfant mineur (art. 296 al. 1 et al. 3 CPC), de sorte que la Cour n'est pas liée par les conclusions des parties sur ce point (art. 296 al. 3 CPC). Les mesures provisionnelles étant soumises à la procédure sommaire (art. 248 let. d CPC),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rPr>
          <w:b/>
        </w:rPr>
        <w:t>E. 2</w:t>
      </w:r>
    </w:p>
    <w:p>
      <w:r>
        <w:t>Les pièces nouvelles produites par l'appelant sont recevables, ce qui n'est pas contesté, étant rappelé que dans les causes de droit de la famille concernant des enfants mineurs, dans lesquelles les maximes d'office et inquisitoire illimitée</w:t>
      </w:r>
    </w:p>
    <w:p>
      <w:r>
        <w:t>- 7/14 -</w:t>
      </w:r>
    </w:p>
    <w:p>
      <w:r>
        <w:t>C/1609/2022 s'appliquent, tous les faits et moyens de preuve nouveaux sont admis en appel, même si les conditions prévues par l'art. 317 al. 1 CPC ne sont pas réalisées (ATF 144 III 349 consid. 4.2.).</w:t>
      </w:r>
    </w:p>
    <w:p>
      <w:r>
        <w:rPr>
          <w:b/>
        </w:rPr>
        <w:t>E. 3</w:t>
      </w:r>
    </w:p>
    <w:p>
      <w:r>
        <w:t>Sur le fond, l'appelant reproche tout d'abord au Tribunal d'avoir fixé le domicile légal de l'enfant intimé au domicile de sa mère, plutôt qu'à son propre domicile.</w:t>
      </w:r>
    </w:p>
    <w:p>
      <w:r>
        <w:rPr>
          <w:b/>
        </w:rPr>
        <w:t>E. 3.1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En cas de garde alternée, le domicile se trouve au lieu de résidence avec lequel les liens sont les plus étroits (ATF 144 V 299 consid. 5.3.3; arrêts du Tribunal fédéral 5A_210/2021 du 7 septembre 2021 consid. 4.2;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(AFFOLTER/VOGEL, in Berner Kommentar ZGB, 2016, n. 44 ad art. 315-315a CC; MEIER/STETTLER, Droit de la filiation, 6e éd., 2019, p. 718 n° 1093). Pour apprécier ces critères, le juge du fait dispose d'un large pouvoir d'appréciation (art. 4 CC; arrêts du Tribunal fédéral 5A_210/2021 cité consid. 4.2).</w:t>
      </w:r>
    </w:p>
    <w:p>
      <w:r>
        <w:rPr>
          <w:b/>
        </w:rPr>
        <w:t>E. 3.2</w:t>
      </w:r>
    </w:p>
    <w:p>
      <w:r>
        <w:t>En l'espèce, le père et la mère de l'enfant intimé exercent sur celui-ci une garde alternée et sont domiciliés dans la même commune. Il n'est pas allégué, ni rendu vraisemblable, que la domiciliation de l'enfant auprès de l'un ou l'autre de ses parents aurait une incidence concrète sur son lieu de scolarisation ou les activités de sa vie sociale. Dans son rapport, le SEASP a préconisé de fixer le domicile légal de l'intimé auprès de sa mère. Il n'est pas contesté que celle-ci se charge notamment de régler l'ensemble des factures relatives à l'enfant. Travaillant à un taux d'activité légèrement inférieur à celui de l'appelant, elle est logiquement plus disponible pour assumer le suivi de son fils sur le plan administratif. Les allégations de l'appelant selon lesquelles la mère envisagerait de déménager avec l'enfant dans un autre canton ne sont pas rendues vraisemblables, celle-ci ayant précisément contesté que tel soit le cas devant le Tribunal. De même, on ne saurait reprocher à la mère d'avoir rapidement trouvé un nouveau logement, de surcroît à proximité de l'ancien domicile commun, après la séparation des parents, pour mettre en doute la pérennité de ce choix.</w:t>
      </w:r>
    </w:p>
    <w:p>
      <w:r>
        <w:t>- 8/14 -</w:t>
      </w:r>
    </w:p>
    <w:p>
      <w:r>
        <w:t>C/1609/2022 Par conséquent, le grief sera rejeté et l'ordonnance entreprise sera confirmée en tant qu'elle a fixé, sur mesures provisionnelles, le domicile légal de l'enfant intimé au domicile de sa mère.</w:t>
      </w:r>
    </w:p>
    <w:p>
      <w:r>
        <w:rPr>
          <w:b/>
        </w:rPr>
        <w:t>E. 4</w:t>
      </w:r>
    </w:p>
    <w:p>
      <w:r>
        <w:t>L'appelant conteste le principe et le montant des contributions à l'entretien de l'intimé mises à sa charge par le premier juge. Il reproche également à celui-ci de ne pas avoir comptabilisé correctement les montants déjà versés à ce titre.</w:t>
      </w:r>
    </w:p>
    <w:p>
      <w:r>
        <w:rPr>
          <w:b/>
        </w:rPr>
        <w:t>E. 4.1</w:t>
      </w:r>
    </w:p>
    <w:p>
      <w:r>
        <w:t>Selon l'art. 276 CC, l'entretien de l'enfant est assuré par les soins, l'éducation et des prestations pécuniaires (al. 1), ces trois éléments étant considérés comme équivalents (ATF 147 III 265 consid. 5.5; arrêt du Tribunal fédéral 5A_450/2020 du 4 janvier 2021 consid. 5.3).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arrêt du Tribunal fédéral 5A_931/2017 du 1er novembre 2018 consid. 3.1.3).</w:t>
      </w:r>
    </w:p>
    <w:p>
      <w:r>
        <w:rPr>
          <w:b/>
        </w:rPr>
        <w:t>E. 4.1.1</w:t>
      </w:r>
    </w:p>
    <w:p>
      <w:r>
        <w:t>Les revenus de l'appelant s'élevaient à 7'510 fr. net par mois en 2021; ils ascendent à 7'020 fr. net par mois depuis janvier 2022. Il convient de retrancher de ses charges mensuelles, arrêtés à 3'580 fr. par mois, une part de loyer dévolue à l'enfant intimé, de 15% ou 180 fr. en chiffres ronds (1'216 fr. x 15%), laissant à sa charge un total de 3'400 fr. par mois (3'580 fr. – 180 fr.). Le disponible de l'appelant peut dès lors être estimé à 4'110 fr. par mois jusqu'en décembre 2021 (7'510 fr. – 3'400 fr.), puis à 3'620 fr. par mois dès janvier 2022 (7'020 fr. – 3'400 fr.). Les revenus de la mère de l'intimé s'élèvent à 5'315 fr. par mois. En tenant également compte d'une part de loyer dévolue à l'enfant (1'930 fr. x 15% = 290 fr.), ses charges mensuelles s'élèvent à 3'740 fr. par mois (4'030 fr. – 290 fr.),</w:t>
      </w:r>
    </w:p>
    <w:p>
      <w:r>
        <w:t>- 10/14 -</w:t>
      </w:r>
    </w:p>
    <w:p>
      <w:r>
        <w:t>C/1609/2022 de sorte que son disponible mensuel peut être estimé à 1'575 fr. par mois (5'315 fr. – 3'740 fr.). Il s'ensuit que le disponible de l'appelant représentait 72,3% du disponible total des parents jusqu'à fin décembre 2021 (4'110 fr. / [4'110 fr. + 1'575 fr.] = 0.723), et représente encore 69,7% depuis janvier 2022 (3'620 fr. / [3'620 fr. + 1'575 fr.] = 0.697). Au vu de la faible différence entre ces deux proportions, on peut estimer que les couts directs de l'intimé doivent être assumés à hauteur de 70% par l'appelant et de 30% par sa mère, pour l'ensemble de la période concernée.</w:t>
      </w:r>
    </w:p>
    <w:p>
      <w:r>
        <w:rPr>
          <w:b/>
        </w:rPr>
        <w:t>E. 4.1.2</w:t>
      </w:r>
    </w:p>
    <w:p>
      <w:r>
        <w:t>En cas de garde alternée, la répartition entre les parents de la charge financière de l'enfant intervient en proportion de leurs capacités contributives respectives (ATF 147 III 265 consid. 5.5; arrêts du Tribunal fédéral 5A_926/2019 du 30 juin 2020 consid. 6.3; 5A_1032/2019 du 9 juin 2020 consid. 5.4.1; 5A_727/2018 du 22 août 2019 consid. 4.3.2.3 et les références). Selon la capacité contributive des père et mère, il n'est pas exclu que l'un des parents doive verser des contributions d'entretien pécuniaires en plus de la prise en charge personnelle qu'il fournit (arrêts du Tribunal fédéral 5A_86/2016 du 5 septembre 2016 consid. 7.4.2 et 5A_1017/2014 du 12 mai 2015 consid. 4.4).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w:t>
      </w:r>
    </w:p>
    <w:p>
      <w:r>
        <w:rPr>
          <w:b/>
        </w:rPr>
        <w:t>E. 4.2</w:t>
      </w:r>
    </w:p>
    <w:p>
      <w:r>
        <w:t>En l'espèce, les revenus et charges des parties s'apprécient comme suit :</w:t>
      </w:r>
    </w:p>
    <w:p>
      <w:r>
        <w:rPr>
          <w:b/>
        </w:rPr>
        <w:t>E. 4.2.2</w:t>
      </w:r>
    </w:p>
    <w:p>
      <w:r>
        <w:t>Les coûts directs de l'enfant s'élèvent actuellement à 670 fr. par mois en chiffres ronds, parts de loyer non comprises. Jusqu'en août 2022, ils totalisaient 1'185 fr. par mois en raison de ses frais de garde (en lieu et place de ses frais de nourrice et de parascolaire; 666 fr. + 660 fr. – [50 fr. + 93 fr.]). Allocations familiales déduites, et parts de loyers comprises, ces coûts s'élèvent donc respectivement à 1'355 fr. par mois jusqu'en août 2022 ([1'185 fr. + 180 fr. + 290 fr.] – 300 fr.) et à 840 fr. par mois depuis septembre 2022 ([670 fr. + 180 fr. + 290 fr.] – 300 fr.). Compte tenu des proportions définies ci-dessus, l'appelant est donc tenu d'assumer les coûts effectifs de l'intimé à hauteur de 950 fr. par mois (70% de 1'355 fr.) jusqu'en août 2022 et de 590 fr. par mois (70% de 840 fr.) dès septembre 2022. Abstraction faite des sommes versées en mains de la mère, dont il n'est pas contesté qu'elle s'acquitte de la totalité des factures relatives à l'intimé, l'appelant a personnellement et concrètement assumé ces coûts à hauteur de 390 fr. par mois, correspondant à la part de son loyer dévolue à l'enfant (190 fr.) et à la moitié de l'entretien de base de celui-ci (200 fr.). L'appelant est ainsi tenu de verser à l'intimé le solde de sa participation à ses frais effectifs, soit une somme de 560 fr. par mois (950 fr. – 390 fr.) jusqu'en août 2022 et de 200 fr. par mois (590 fr. – 390 fr.) dès le mois de septembre 2022, avant répartition de l'excédent.</w:t>
      </w:r>
    </w:p>
    <w:p>
      <w:r>
        <w:rPr>
          <w:b/>
        </w:rPr>
        <w:t>E. 4.2.3</w:t>
      </w:r>
    </w:p>
    <w:p>
      <w:r>
        <w:t>En l'occurrence, après couverture des frais effectifs de l'intimé (allocations familiales déduites), le budget mensuel de la famille présentait un excédent de 4'330 fr. jusqu'à fin décembre 2021 ([4'110 fr. + 1'575 fr.] – 1'355 fr.), puis de 3'840 fr. jusqu'à fin août 2022 ([3'620 fr. + 1'575 fr.] – 1'355 fr.), et de 4'355 fr. dès septembre 2022 ([3'620 fr. + 1'575 fr.] – 840 fr.). Correspondant à un cinquième de cet excédent (deux "grandes têtes, une "petite tête"), la part de l'intimé peut être évaluée à 795 fr. d'octobre 2021 à août 2022 (sur un excédent moyen de 3'975 fr. par mois en onze mois), puis à 870 fr. par mois dès septembre 2022 (sur un excédent de 4'355 fr. par mois). Comme précédemment, compte tenu des capacités respectives des parents, on peut estimer que 70% de cette part doit être fournie à l'intimé par l'appelant, tandis</w:t>
      </w:r>
    </w:p>
    <w:p>
      <w:r>
        <w:t>- 11/14 -</w:t>
      </w:r>
    </w:p>
    <w:p>
      <w:r>
        <w:t>C/1609/2022 que la mère peut être tenue de fournir le 30% restant. Ceci détermine la part d'excédent due par l'appelant à 555 fr. par mois (70% de 795 fr.) jusqu'à fin août 2022, puis à 610 fr. (70% de 870 fr.) dès le mois de septembre 2022.</w:t>
      </w:r>
    </w:p>
    <w:p>
      <w:r>
        <w:rPr>
          <w:b/>
        </w:rPr>
        <w:t>E. 4.2.4</w:t>
      </w:r>
    </w:p>
    <w:p>
      <w:r>
        <w:t>Compte tenu de la situation des parties, il n'y a en l'espèce pas lieu de renoncer au partage de l'excédent, en sus de la participation aux coûts effectifs de l'intimé. Les contributions d'entretien dues par l'appelant seront donc arrêtées aux montants arrondis de 1'100 fr. par mois (560 fr. + 555 fr. = 1'115 fr.) jusqu'au mois d'août 2022 et à 800 fr. par mois (200 fr. + 610 fr. = 810 fr.) dès le mois de septembre 2022. Il reste à examiner le dies a quo de l'obligation, ainsi que l'imputation des sommes déjà versées.</w:t>
      </w:r>
    </w:p>
    <w:p>
      <w:r>
        <w:rPr>
          <w:b/>
        </w:rPr>
        <w:t>E. 5.1</w:t>
      </w:r>
    </w:p>
    <w:p>
      <w:r>
        <w:t>Les contributions pécuniaires fixées par le juge dans le cadre de mesures provisoires peuvent également être réclamées pour l'avenir et pour l'année qui précède l'introduction de la requête (art. 303 CPC en relation avec l'art. 279 CC). En cas de versement rétroactif de contributions d'entretien, le juge qui en fixe le montant doit tenir compte des versements déjà effectués à ce titre par le parent débirentier (ATF 138 III 583 consid. 6.1.1; 135 III 315 consid. 2.4; arrêt du Tribunal fédéral 5A_217/2012 du 9 juillet 2012 consid. 6).</w:t>
      </w:r>
    </w:p>
    <w:p>
      <w:r>
        <w:rPr>
          <w:b/>
        </w:rPr>
        <w:t>E. 5.2</w:t>
      </w:r>
    </w:p>
    <w:p>
      <w:r>
        <w:t>En l'espèce, la décision du Tribunal de fixer le dies a quo des contributions d'entretien litigieuses au 1er octobre 2021 n'est pas contestée en tant que telle, l'appelant offrant lui-même, dans ses conclusions subsidiaires, de contribuer à l'entretien de l'intimé dès cette date. Ce dies a quo sera dès lors maintenu. S'agissant des sommes déjà versées en mains de la mère de l'intimé, l'appelant s'est acquitté de 666 fr. par mois d'avril 2022 à juin 2022 et de 378 fr. par mois du mois de juillet 2022 à ce jour, soit un total de 6'156 fr. au 31 mai 2023. L'appelant établit également s'être acquitté de 70 fr. 50 supplémentaires depuis le mois de décembre 2022, soit un total de 423 fr. à fin mai 2023. Enfin, la mère de l'intimé a reconnu devant le Tribunal que l'appelant avait participé pour moitié au paiement des primes d'assurance maladie de l'enfant pour l'année 2022, ce qui représente un montant de l'ordre de 600 fr. ([71 fr. + 29 fr.] x 12 /2). On peut donc arrêter le total des sommes déjà versées par l'appelant à 7'179 fr. (6'156 fr. + 423 fr. + 600 fr.) au 31 mai 2023. Par conséquent, l'appelant sera condamné à verser en mains de la mère de l'intimé, à titre de contribution à l'entretien de celui-ci, par mois et d'avance, les sommes de 1'100 fr. par mois du 1er octobre 2021 au 31 août 2022 et de 800 fr. par mois dès le 1er septembre 2022, sous déduction de 7'179 fr. déjà versés au 31 mai 2023.</w:t>
      </w:r>
    </w:p>
    <w:p>
      <w:r>
        <w:t>- 12/14 -</w:t>
      </w:r>
    </w:p>
    <w:p>
      <w:r>
        <w:t>C/1609/2022 Le chiffre 2 du dispositif de l'ordonnance entreprise sera dès lors annulé et réformé en ce sens.</w:t>
      </w:r>
    </w:p>
    <w:p>
      <w:r>
        <w:rPr>
          <w:b/>
        </w:rPr>
        <w:t>E. 6</w:t>
      </w:r>
    </w:p>
    <w:p>
      <w:r>
        <w:t>Les frais judiciaires de l'appel, comprenant les frais de la décision rendue sur effet suspensif, seront arrêtés à 1'000 fr. (art. 23, 31 et 35 RTFMC) et mis à la charge des parties pour moitié chacune, vu la nature familiale du litige (art. 107 al. 1 let. c CPC). Ils seront compensés à concurrence de 500 fr. avec l'avance de frais de même montant fournie par l'appelant, qui demeure acquise à l'Etat (art. 111 al. 1 CPC). Le solde lui sera restitué (art. 122 al. 1 let. b et c CPC). La part des frais de l'intimé sera provisoirement laissée à la charge de l'Etat de Genève. Pour les mêmes motifs, chaque partie supportera ses propres dépens d'appel (art. 107 al. 1 let. c CPC). * * * * *</w:t>
      </w:r>
    </w:p>
    <w:p>
      <w:r>
        <w:t>- 13/14 -</w:t>
      </w:r>
    </w:p>
    <w:p>
      <w:r>
        <w:t>C/1609/2022</w:t>
      </w:r>
    </w:p>
    <w:p>
      <w:r>
        <w:t>PAR CES MOTIFS, La Chambre civile : A la forme : Déclare recevable l'appel interjeté le 19 mars 2023 par A______ contre l'ordonnance OTPI/138/2023 rendue le 28 février 2023 par le Tribunal de première instance dans la cause C/1609/2022-16. Au fond : Annule le chiffre 2 du dispositif de cette ordonnance et, statuant à nouveau sur ce point : Condamne A______ à verser en mains de C______, à titre de contribution à l'entretien de l'enfant B______, par mois et d'avance, allocations familiales non comprises, les sommes de 1'100 fr. par mois du 1er octobre 2021 au 31 août 2022 et de 800 fr. par mois dès le 1er septembre 2022, sous déduction de 7'179 fr. déjà versés au 31 mai 2023. Confirme l'ordonnance entreprise pour le surplus. Déboute les parties de toutes autres conclusions. Sur les frais : Arrête les frais judiciaires d'appel à 1'000 fr., les met à la charge des parties pour moitié chacune et les compense à concurrence de 500 fr. avec l'avance de frais fournie par A______, qui demeure acquise à l'Etat de Genève. Invite les Services financiers du Pouvoir judiciaire à restituer à A______ la somme de 500 fr. Laisse provisoirement à la charge de l'Etat de Genève la part des frais judiciaires de 500 fr. mise à la charge de B______. Dit que chaque partie supporte ses propres dépens d'appel. Siégeant : Monsieur Cédric-Laurent MICHEL, président; Madame Pauline ERARD, Madame Paola CAMPOMAGNANI, juges; Madame Gladys REICHENBACH, greffière. Le président : Cédric-Laurent MICHEL</w:t>
      </w:r>
    </w:p>
    <w:p>
      <w:r>
        <w:t>La greffière : Gladys REICHENBACH</w:t>
      </w:r>
    </w:p>
    <w:p>
      <w:r>
        <w:t>- 14/14 -</w:t>
      </w:r>
    </w:p>
    <w:p>
      <w:r>
        <w:t>C/1609/2022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