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ACJC/744/2023 vom 6. September 2022</w:t>
      </w:r>
    </w:p>
    <w:p>
      <w:r>
        <w:t>GE Cour de justice, 2022-09-06, FR</w:t>
      </w:r>
    </w:p>
    <w:p>
      <w:r>
        <w:rPr>
          <w:b/>
        </w:rPr>
        <w:t xml:space="preserve">Quelle: </w:t>
      </w:r>
      <w:r>
        <w:t>https://mcp.opencaselaw.ch/entscheid/ge_gerichte_ACJC_744_2023</w:t>
      </w:r>
    </w:p>
    <w:p>
      <w:r>
        <w:t>FR: GE_GERICHTE ACJC/744/2023 du 6 septembre 2022</w:t>
      </w:r>
    </w:p>
    <w:p>
      <w:r>
        <w:t>IT: GE_GERICHTE ACJC/744/2023 del 6 settembre 2022</w:t>
      </w:r>
    </w:p>
    <w:p>
      <w:pPr>
        <w:pStyle w:val="Heading2"/>
      </w:pPr>
      <w:r>
        <w:t>Erwägungen</w:t>
      </w:r>
    </w:p>
    <w:p>
      <w:r>
        <w:rPr>
          <w:b/>
        </w:rPr>
        <w:t>E. 1.1</w:t>
      </w:r>
    </w:p>
    <w:p>
      <w:r>
        <w:t>Interjeté dans le délai utile et suivant la forme prescrite par la loi (art. 130, 142, 143 et 311 al. 1 CPC) à l’encontre d’une décision finale de première instance, rendue dans un litige dont la valeur litigieuse au dernier état des conclusions est supérieure à 10’000 fr. (art. 308 al. 2 CPC) et par devant l'instance cantonale appelée à en connaître (art. 120 al.1 lit. a LOJ), l’appel est formellement recevable.</w:t>
      </w:r>
    </w:p>
    <w:p>
      <w:r>
        <w:rPr>
          <w:b/>
        </w:rPr>
        <w:t>E. 1.2</w:t>
      </w:r>
    </w:p>
    <w:p>
      <w:r>
        <w:t>La Cour revoit la cause avec un plein pouvoir d’examen (art. 310 CPC). Elle applique la maxime des débats et le principe de disposition (art. 55 al. 1 et 58 al. 1 CPC).</w:t>
      </w:r>
    </w:p>
    <w:p>
      <w:r>
        <w:rPr>
          <w:b/>
        </w:rPr>
        <w:t>E. 2</w:t>
      </w:r>
    </w:p>
    <w:p>
      <w:r>
        <w:t>En tant que l'appelante soutient que le Tribunal aurait omis des faits pertinents, la Cour se fonde sur son propre état de faits établi sur la base des éléments qui découlent de la procédure qui lui est soumise.</w:t>
      </w:r>
    </w:p>
    <w:p>
      <w:r>
        <w:rPr>
          <w:b/>
        </w:rPr>
        <w:t>E. 3</w:t>
      </w:r>
    </w:p>
    <w:p>
      <w:r>
        <w:t>L'appelante fait grief en premier lieu au Tribunal de ne pas avoir retenu que l'intimée aurait accepté tacitement sa compétence en procédant sans réserve.</w:t>
      </w:r>
    </w:p>
    <w:p>
      <w:r>
        <w:rPr>
          <w:b/>
        </w:rPr>
        <w:t>E. 3.1</w:t>
      </w:r>
    </w:p>
    <w:p>
      <w:r>
        <w:t>La cause présente à tout le moins un élément d'extranéité, l'appelante étant domiciliée en Arabie saoudite. Par conséquent, les règles du droit international privé suisse s'appliquent, notamment à la compétence des autorités judiciaires suisses et au droit applicable (art.1 de la loi fédérale sur le droit international privé du 18 décembre 1987 (LDIP – RS 291)). Selon l'art. 6 LDIP, en matière patrimoniale, le tribunal devant lequel le défendeur procède au fond sans faire de réserve est compétent, à moins qu'il ne décline sa compétence dans la mesure où l'art 5 al. 3 le lui permet. Cette disposition stipule que le tribunal suisse élu ne peut décliner sa compétence si une partie est domiciliée, a sa résidence habituelle ou un établissement dans le canton où il siège, ou si en vertu de la loi, le droit suisse est applicable. Pour que le défendeur puisse se voir imposer une acceptation tacite de compétence, il faut qu'il soit entré en matière. Il faut dès lors que son comportement soit celui d'un plaideur qui procède au fond sans faire de réserve. On en déduira que le défendeur peut se déterminer à titre éventuel sur le fond, pour le cas où l'exception d'incompétence ne serait pas admise, sans que pareil comportement vaille acceptation tacite de la compétence du tribunal (DUTOIT, Droit international privé suisse, commentaire LDIP, 5e éd. 2016, nos 1 et 2 ad art. 6). Il faut que l'acceptation ait lieu sans réserve, de sorte qu'elle n'existe pas lorsque le défendeur excipe de l'incompétence du tribunal avant ou en même temps que ses déterminations sur le fond de la cause (VASELLA/KUNZ, Basler Kommentar, Internationales Privatrecht, 4. Aufl., 2021, no 11 ad Art.6).</w:t>
      </w:r>
    </w:p>
    <w:p>
      <w:r>
        <w:t>- 9/12 -</w:t>
      </w:r>
    </w:p>
    <w:p>
      <w:r>
        <w:t>C/8160/2020</w:t>
      </w:r>
    </w:p>
    <w:p>
      <w:r>
        <w:rPr>
          <w:b/>
        </w:rPr>
        <w:t>E. 3.2</w:t>
      </w:r>
    </w:p>
    <w:p>
      <w:r>
        <w:t>Dans le cas d'espèce, il ressort sans ambiguïté de la procédure que l'intimée a pris d'entrée de cause et dans sa première écriture par devant le juge de première instance des conclusions tant en rejet qu'en irrecevabilité du fait de l'incompétence alléguée du Tribunal. Elle s'est dès lors, indépendamment du fait que l'ordre de ses conclusions était différent de celui de celles déposées par la suite, conformée à l'exigence de devoir soulever le déclinatoire de compétence avant ou au plus tard en même temps que la prise de conclusions en rejet de l'action. En tous les cas il doit être retenu qu'elle n'a, de ce fait, à l'évidence pas procédé au fond sans faire de réserve, de sorte que l'on aurait pu lui imposer un for par acceptation tacite de compétence. Ce grief doit être rejeté. Dans la mesure où il n'y a pas eu acception tacite de compétence au sens de l'art. 6 LDIP, il n'y a pas à se poser la question de savoir si l'art. 5 al. 3 LDIP pouvait ou non trouver application. En effet, l'art. 5 al. 3 LDIP peut trouver application dans deux hypothèses. Soit les parties ont élu un for à Genève au sens de l'art. 5 LDIP ce qui n’est pas le cas, soit l'une d'elles a accepté tacitement un for au sens de l'art. 6 LDIP, ce qui n'est pas le cas non plus en l'espèce comme vu ci-dessus. Par conséquent, l'application de l'art. 5 al. 3 LDIP n'entrant pas en matière, la discussion relative à l'existence d'un établissement (art. 5 al. 3 lit. a LDIP) de l'intimée à Genève dans ce cadre est vaine.</w:t>
      </w:r>
    </w:p>
    <w:p>
      <w:r>
        <w:rPr>
          <w:b/>
        </w:rPr>
        <w:t>E. 4</w:t>
      </w:r>
    </w:p>
    <w:p>
      <w:r>
        <w:t>L'appelante soutient en outre qu'elle devrait pouvoir bénéficier des règles de compétence découlant de la protection des consommateurs et fait grief au Tribunal de ne pas l'avoir retenu, violant par-là selon elle les art. 114 et 120 LDIP.</w:t>
      </w:r>
    </w:p>
    <w:p>
      <w:r>
        <w:rPr>
          <w:b/>
        </w:rPr>
        <w:t>E. 4.1</w:t>
      </w:r>
    </w:p>
    <w:p>
      <w:r>
        <w:t>Selon l'art. 120 al. 1 LDIP, les contrats portant sur une prestation de consommation courante destinée à un usage personnel ou familial du consommateur et qui n'est pas en rapport avec l'activité professionnelle ou commerciale du consommateur sont régis par le droit de l'Etat de la résidence habituelle du consommateur (…). L'art. 114 al. 1 LDIP stipule quant à lui que dans les contrats qui répondent aux conditions énoncées par l'art. 120 al. 1, l'action intentée par un consommateur peut être portée, au choix de ce dernier, devant le tribunal suisse de son domicile ou de sa résidence habituelle (a) ou du domicile ou à défaut de domicile de la résidence habituelle du fournisseur. L'al. 2 de cette disposition prescrit que le consommateur ne peut pas renoncer d'avance au for de son domicile ou de sa résidence habituelle. Apparaît déterminant dans le cadre de la définition du contrat conclu avec un consommateur le critère fondamental de l'usage personnel ou familial (DUTOIT, op. cit, no 2 ad art. 120). En matière financière en particulier, le Tribunal fédéral a considéré que le champ d'application des dispositions spéciales en matière de for</w:t>
      </w:r>
    </w:p>
    <w:p>
      <w:r>
        <w:t>- 10/12 -</w:t>
      </w:r>
    </w:p>
    <w:p>
      <w:r>
        <w:t>C/8160/2020 pour les contrats conclus avec des consommateurs devait être compris de manière étroite, la protection sociale voulue par le législateur se limitant exclusivement aux consommateurs privés et aux prestations couvrant les besoins courants (ATF 132 III 268/272 c.2.2.2). Cette jurisprudence a été confirmée par la suite (cf. not. arrêt du Tribunal fédéral 4A_229/2018 c.9).</w:t>
      </w:r>
    </w:p>
    <w:p>
      <w:r>
        <w:rPr>
          <w:b/>
        </w:rPr>
        <w:t>E. 4.2</w:t>
      </w:r>
    </w:p>
    <w:p>
      <w:r>
        <w:t>Dans le cas d'espèce, l'appelante, reprochant au premier juge un raisonnement lapidaire sur la question, se contente pour sa part de soutenir sans autre explication avoir dû conclure le "Share purchase agreement" pour ses besoins personnels. Or, outre le fait qu’on ne sait rien de son activité professionnelle, elle ne donne ce faisant aucun détail sur le fait que cette opération servait ses besoins courants. Quoiqu'il en soit, conformément aux principes rappelés ci-dessus, une telle opération, d'ampleur (plus d'un million de francs), complexe (achat de parts d’investisseurs dans un fonds), portant sur un investissement international, sort manifestement du champ d'application de la protection sociale voulue par le législateur dans le cadre de l’adoption des règles exceptionnelles de for destinées aux contrats conclus avec des consommateurs. Soutenir le contraire frise la témérité. Ce grief doit être rejeté sans autre.</w:t>
      </w:r>
    </w:p>
    <w:p>
      <w:r>
        <w:rPr>
          <w:b/>
        </w:rPr>
        <w:t>E. 5</w:t>
      </w:r>
    </w:p>
    <w:p>
      <w:r>
        <w:t>En dernier lieu, l'appelante reproche au Tribunal d'avoir violé la règle de compétence découlant de l'art. 129 LDIP relative à la compétence en matière d'acte illicite. Elle fait grief au premier juge d'avoir notamment retenu qu'elle n'invoquait pas de commission d'acte illicite comme fondement de sa demande mais une violation contractuelle exclusivement.</w:t>
      </w:r>
    </w:p>
    <w:p>
      <w:r>
        <w:rPr>
          <w:b/>
        </w:rPr>
        <w:t>E. 5.1</w:t>
      </w:r>
    </w:p>
    <w:p>
      <w:r>
        <w:t>Aux termes de l'art. 129 LDIP, les tribunaux suisses du domicile ou, à défaut de domicile, ceux de la résidence habituelle du défendeur sont compétents pour connaître des actions fondées sur un acte illicite. Sont en outre compétents les tribunaux suisses du lieu de l'acte ou du résultat et, pour connaître des actions relatives à l'activité de l'établissement en Suisse, les tribunaux du lieu de l'établissement.</w:t>
      </w:r>
    </w:p>
    <w:p>
      <w:r>
        <w:rPr>
          <w:b/>
        </w:rPr>
        <w:t>E. 5.2</w:t>
      </w:r>
    </w:p>
    <w:p>
      <w:r>
        <w:t>En l'espèce, le Tribunal a considéré, outre le fait qu'il n'existait pas d'établissement de l'intimée à Genève, que l'appelante n'avait pas invoqué d'acte illicite de l'intimée susceptible de créer un for fondé sur une action délictuelle. L'appelante soutient que ce n'est pas parce qu'elle ne s'était pas prévalue d'actes illicites commis par l'intimée que les faits présentés par elle ne pouvaient pas également constituer la base à une qualification d'action délictuelle puisque iura novit curia.</w:t>
      </w:r>
    </w:p>
    <w:p>
      <w:r>
        <w:t>- 11/12 -</w:t>
      </w:r>
    </w:p>
    <w:p>
      <w:r>
        <w:t>C/8160/2020 Il est incontesté que le tribunal applique le droit d'office (art. 57 CPC). Cela étant, il le fait sur la base des faits allégués par les parties qui fondent le cadre du litige soumis au juge. Lorsque, comme dans le cas d'espèce, la demande est fondée sur des faits ressortant d'une relation contractuelle ou prétendue telle, il n'appartient pas au juge de compléter le cas échéant lesdits faits de manière à tenter d'envisager un nouveau fondement juridique à la demande, in casu de manière en outre à tenter de fonder un nouveau point de rattachement susceptible de créer un for. L'ensemble des faits présentés dans la demande de l'appelante vise à tenter de démontrer des manquements dans la gestion, prétendument par l'intimée, du fonds L______(SAS I______) et en sa qualité d'Asset manager. Or, indépendamment du fait que ces faits relèvent de rapports contractuels allégués entre les parties, on doit constater que les éventuels actes illicites qui pourraient en découler sont des actes de tiers et non de l'intimée dans la mesure où d'une part celle-ci n'a jamais été Asset manager de la propriété et que c'est B______ SA, à Bâle et Zurich, qui avait repris les engagements de F______. Dans la mesure, dès lors, où il n'y a pas de quoi envisager un for pour une action délictuelle à Genève, la question de savoir s'il existe un établissement de l'intimée dans ce canton au sens de l'art. 129 LDIP n'a pas à être examinée à ce stade non plus.</w:t>
      </w:r>
    </w:p>
    <w:p>
      <w:r>
        <w:rPr>
          <w:b/>
        </w:rPr>
        <w:t>E. 6</w:t>
      </w:r>
    </w:p>
    <w:p>
      <w:r>
        <w:t>Comme elle succombe, l'appelante supportera les frais d'appel fixés à 3'500 fr., compensés partiellement avec l'avance de frais de 1'000 fr. versée par elle qui reste acquise à l'Etat. Des dépens d'appel seront mis à sa charge en 4'000 fr. en faveur de l'intimée. * * * * *</w:t>
      </w:r>
    </w:p>
    <w:p>
      <w:r>
        <w:t>- 12/12 -</w:t>
      </w:r>
    </w:p>
    <w:p>
      <w:r>
        <w:t>C/8160/2020 PAR CES MOTIFS, La Chambre civile : A la forme : Déclare recevable l'appel interjeté par A______ contre le jugement JTPI/10496/2022 rendu le 6 septembre 2022 par le Tribunal de première instance dans la cause C/8160/2020. Au fond : Le rejette. Sur les frais : Arrête les frais judiciaires d’appel à 3'500 fr., les met à charge de A______ et les compense partiellement avec l’avance de frais versée par elle de 1'000 fr., qui demeure acquise à l’Etat de Genève. Condamne A______ à verser 2'500 fr. à l’Etat de Genève, soit pour lui les Services financiers du Pouvoir judiciaire. Condamne A______ à verser à B______ (SUISSE) SA 4’000 fr. à titre de dépens. Siégeant : Monsieur Cédric-Laurent MICHEL, président; Madame Pauline ERARD, Madame Paola CAMPOMAGNANI,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