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ACJC/744/2021 vom 9. Juni 2021</w:t>
      </w:r>
    </w:p>
    <w:p>
      <w:r>
        <w:t>GE Cour de justice, 2021-06-09, FR</w:t>
      </w:r>
    </w:p>
    <w:p>
      <w:r>
        <w:rPr>
          <w:b/>
        </w:rPr>
        <w:t xml:space="preserve">Quelle: </w:t>
      </w:r>
      <w:r>
        <w:t>https://mcp.opencaselaw.ch/entscheid/ge_gerichte_ACJC_744_2021</w:t>
      </w:r>
    </w:p>
    <w:p>
      <w:r>
        <w:t>FR: GE_GERICHTE ACJC/744/2021 du 9 juin 2021</w:t>
      </w:r>
    </w:p>
    <w:p>
      <w:r>
        <w:t>IT: GE_GERICHTE ACJC/744/2021 del 9 giugno 2021</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t>- 4/11 -</w:t>
      </w:r>
    </w:p>
    <w:p>
      <w:r>
        <w:t>C/7589/2021</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La recourante fait grief au Tribunal d'avoir considéré qu'elle n'avait pas rendu vraisemblable que l'intimé était employé par l'Etat de Genève, au C______.</w:t>
      </w:r>
    </w:p>
    <w:p>
      <w:r>
        <w:rPr>
          <w:b/>
        </w:rPr>
        <w:t>E. 3.1</w:t>
      </w:r>
    </w:p>
    <w:p>
      <w:r>
        <w:t>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w:t>
      </w:r>
    </w:p>
    <w:p>
      <w:r>
        <w:t>- 5/11 -</w:t>
      </w:r>
    </w:p>
    <w:p>
      <w:r>
        <w:t>C/7589/2021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En l'espèce, il résulte des pièces produites que B______ a été membre de la recourante, syndicat qui ne regroupe que des membres du personnel du ______ du canton de Genève, et a payé quelques cotisations semestrielles. Lors de l'assemblée générale de la recourante qui s'est tenue le 23 mai 2018, l'exclusion de B______ pour non-paiement des cotisations a été acceptée à la majorité. Celui-ci a donc été exclu de l'association avec effet au 30 juin 2018. Cette exclusion a été prise en compte par la D______, laquelle a indiqué qu'à cette date le membre exclu était toujours en service, tandis qu'elle a attesté que l'intéressé avait été affilié depuis le 1er juillet 2004.</w:t>
      </w:r>
    </w:p>
    <w:p>
      <w:r>
        <w:t>- 6/11 -</w:t>
      </w:r>
    </w:p>
    <w:p>
      <w:r>
        <w:t>C/7589/2021 Les éléments qui précèdent rendent vraisemblable que B______ a travaillé au service de l'Etat de Genève à tout le moins jusqu'au 30 juin 2018. Certes, la requête de séquestre a été formée près de trois ans après cette dernière date - contrairement à l'espèce objet de l'arrêt de la Cour ACJC/371/2019 du 12 mars 2019 où huit mois séparaient l'exclusion du membre du dépôt de la requête de séquestre - mais comme le souligne la recourante, on ne voit pas de quelle pièce actuelle celle-ci pourrait disposer. Par conséquent, l'allégué de la recourante, relatif à l'emploi d'un fonctionnaire au service de l'Etat de Genève depuis 2004 au moins, qui n'a pas atteint l'âge de la retraite, apparaît crédible. L'existence de la créance est également vraisemblable. Il s'agit en effet de cotisations syndicales réclamées au débiteur par diverses factures, dont ce dernier n'a pas contesté le bien-fondé, se limitant à faire état de ses difficultés à les payer. Le recours étant fondé,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3.4</w:t>
      </w:r>
    </w:p>
    <w:p>
      <w:r>
        <w:t>En l'état, il ne se justifie pas de condamner la recourante à verser des sûretés selon l'art. 273 al. 1 in fine LP. 4. 4.1. Lorsque l'instance de recours rend une nouvelle décision, elle se prononce sur les frais de première instance (art. 318 al. 3 CPC par analogie; JEANDIN, op.cit, n. 9 ad art. 327 CPC). Le montant des frais judiciaires de première instance sera arrêté à 200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w:t>
      </w:r>
    </w:p>
    <w:p>
      <w:r>
        <w:t>- 7/11 -</w:t>
      </w:r>
    </w:p>
    <w:p>
      <w:r>
        <w:t>C/7589/2021 B______ sera par conséquent condamné à verser à la recourante la somme de 200 fr. à titre de restitution d'avance de frais judiciaires (art. 111 al. 2 CPC).</w:t>
      </w:r>
    </w:p>
    <w:p>
      <w:r>
        <w:t>4.2. Les frais judiciaires du recours seront arrêtés à 150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2ème éd. 2019, n. 37 ad art. 107 CPC). L'avance de frais, d'un montant de 150 fr., fournie par la recourante lui sera restituée.</w:t>
      </w:r>
    </w:p>
    <w:p>
      <w:r>
        <w:t>L'art. 107 al. 2 CPC ne permet pas de mettre des dépens de la procédure à la charge de l'Etat (TAPPY, op. cit., n. 35 ad art. 107 CPC). Il ne sera donc pas alloué de dépens de recours. * * * * *</w:t>
      </w:r>
    </w:p>
    <w:p>
      <w:r>
        <w:t>- 8/11 -</w:t>
      </w:r>
    </w:p>
    <w:p>
      <w:r>
        <w:t>C/7589/2021</w:t>
      </w:r>
    </w:p>
    <w:p>
      <w:r>
        <w:t>PAR CES MOTIFS, La Chambre civile :</w:t>
      </w:r>
    </w:p>
    <w:p>
      <w:r>
        <w:t>A la forme : Déclare recevable le recours formé par A______ contre l'ordonnance SQ/324/2021 rendue le 7 mai 2021 par le Tribunal de première instance dans la cause C/7589/2021- 16 SQP. Au fond : Annule l'ordonnance attaquée et, statuant à nouveau : Ordonne le séquestre, au profit de la A______, sise 2______, à concurrence de - 210 fr. plus intérêts moratoires à 5% l'an dès le 2 août 2016, - 210 fr. plus intérêts moratoires à 5% l'an dès le 15 juillet 2017, du salaire, y compris, gratifications et 13e salaire, versés à B______, débiteur domicilié 1______, France, par son employeur, l'Etat de Genève, Département C______, ______. Sur les frais de première instance : Arrête les frais judiciaires de première instance à 200 fr., les met à la charge de B______ et les compense avec l'avance de frais versée, laquelle reste acquise à l'Etat de Genève. Condamne B______ à verser à la A______ 200 fr. à titre de restitution d'avance de frais judiciaires de première instance. Sur les frais du recours : Arrête les frais judiciaires du recours à 150 fr. et les laisse à la charge de l'Etat de Genève. Invite les Services financiers du Pouvoir judiciaire à restituer à A______ l'avance de frais de 150 fr. Dit qu'il n'est pas alloué de dépens de recours.</w:t>
      </w:r>
    </w:p>
    <w:p>
      <w:r>
        <w:t>- 9/11 -</w:t>
      </w:r>
    </w:p>
    <w:p>
      <w:r>
        <w:t>C/7589/2021 Siégeant : Madame Pauline ERARD, présidente; Madame Sylvie DROIN, Madame Nathalie LANDRY-BARTHE, juges; Madame Mélanie DE RESENDE PEREIRA, greffière.</w:t>
      </w:r>
    </w:p>
    <w:p>
      <w:r>
        <w:t>La présidente : Pauline ERARD</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- 10/11 -</w:t>
      </w:r>
    </w:p>
    <w:p>
      <w:r>
        <w:t>C/7589/2021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t>- 11/11 -</w:t>
      </w:r>
    </w:p>
    <w:p>
      <w:r>
        <w:t>C/7589/2021 4. 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