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ACJC/741/2023 vom 22. Mai 2023</w:t>
      </w:r>
    </w:p>
    <w:p>
      <w:r>
        <w:t>GE Cour de justice, 2023-05-22, FR</w:t>
      </w:r>
    </w:p>
    <w:p>
      <w:r>
        <w:rPr>
          <w:b/>
        </w:rPr>
        <w:t xml:space="preserve">Quelle: </w:t>
      </w:r>
      <w:r>
        <w:t>https://mcp.opencaselaw.ch/entscheid/ge_gerichte_ACJC_741_2023</w:t>
      </w:r>
    </w:p>
    <w:p>
      <w:r>
        <w:t>FR: GE_GERICHTE ACJC/741/2023 du 22 mai 2023</w:t>
      </w:r>
    </w:p>
    <w:p>
      <w:r>
        <w:t>IT: GE_GERICHTE ACJC/741/2023 del 22 maggio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363 fr. 90 en se fondant sur les tarifs communs en matière de reprographie (TC 8) et de réseaux numériques (TC 9).</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w:t>
      </w:r>
    </w:p>
    <w:p>
      <w:r>
        <w:t>- 5/7 -</w:t>
      </w:r>
    </w:p>
    <w:p>
      <w:r>
        <w:t>C/22298/2022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et le mode de calcul ne sont ainsi pas critiqués. Ils seront dès lors retenus par la Cour, aucun élément ni pièce ne démontrant en particulier que le nombre d'employés retenu par la demanderesse serait supérieur à la réalité.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 payer à titre de redevances pour les années 2021 et 2022 la somme totale de 300 fr. 40, avec intérêts à 5% l'an depuis le 22 août 2022, conformément aux conclusions de la demanderesse.</w:t>
      </w:r>
    </w:p>
    <w:p>
      <w:r>
        <w:rPr>
          <w:b/>
        </w:rPr>
        <w:t>E. 3</w:t>
      </w:r>
    </w:p>
    <w:p>
      <w:r>
        <w:t>Les frais judiciaires seront mis à la charge de la défenderesse, qui succombe (art. 95 et 106 al. 1 CPC) et arrêtés à 300 fr. (art. 17 RTFMC), compte tenu de</w:t>
      </w:r>
    </w:p>
    <w:p>
      <w:r>
        <w:t>- 6/7 -</w:t>
      </w:r>
    </w:p>
    <w:p>
      <w:r>
        <w:t>C/22298/2022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 * * * * *</w:t>
      </w:r>
    </w:p>
    <w:p>
      <w:r>
        <w:t>- 7/7 -</w:t>
      </w:r>
    </w:p>
    <w:p>
      <w:r>
        <w:t>C/22298/2022 PAR CES MOTIFS, La Chambre civile : A la forme : Déclare recevable la demande en paiement formée par PROLITTERIS, SOCIETE SUISSE DE DROITS D'AUTEUR POUR L'ART LITTERAIRE ET PLASTIQUE, COOPERATIVE contre A______ Sàrl dans la cause C/22298/2022. Au fond : Condamne A______ Sàrl à payer à PROLITTERIS, SOCIETE SUISSE DE DROITS D'AUTEUR POUR L'ART LITTERAIRE ET PLASTIQUE, COOPERATIVE la somme de 300 fr. 40, avec intérêts à 5% l'an depuis le 22 août 2022. Sur les frais : Arrête les frais judiciaires à 300 fr., les met à la charge de A______ Sàrl et les compense avec l'avance de frais effectuée, laquelle demeure acquise à l'Etat de Genève. Condamne A______ Sàrl à verser à PROLITTERIS, SOCIETE SUISSE DE DROITS D'AUTEUR POUR L'ART LITTERAIRE ET PLASTIQUE, COOPERATIVE 300 fr. à titre de remboursement des frais judiciaires et 300 fr. à titre de dépens. Siégeant : Monsieur Laurent RIEBEN, président; Madame Paola CAMPOMAGNANI et Madame Ursula ZEHETBAUER GHAVAMI, juges; Madame Gladys REICHENBACH, greffière. 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