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ACJC/739/2024 vom 13. Juni 2024</w:t>
      </w:r>
    </w:p>
    <w:p>
      <w:r>
        <w:t>GE Cour de justice, 2024-06-13, FR</w:t>
      </w:r>
    </w:p>
    <w:p>
      <w:r>
        <w:rPr>
          <w:b/>
        </w:rPr>
        <w:t xml:space="preserve">Quelle: </w:t>
      </w:r>
      <w:r>
        <w:t>https://mcp.opencaselaw.ch/entscheid/ge_gerichte_ACJC_739_2024</w:t>
      </w:r>
    </w:p>
    <w:p>
      <w:r>
        <w:t>FR: GE_GERICHTE ACJC/739/2024 du 13 juin 2024</w:t>
      </w:r>
    </w:p>
    <w:p>
      <w:r>
        <w:t>IT: GE_GERICHTE ACJC/739/2024 del 13 giugno 2024</w:t>
      </w:r>
    </w:p>
    <w:p>
      <w:pPr>
        <w:pStyle w:val="Heading2"/>
      </w:pPr>
      <w:r>
        <w:t>Erwägungen</w:t>
      </w:r>
    </w:p>
    <w:p>
      <w:r>
        <w:rPr>
          <w:b/>
        </w:rPr>
        <w:t>E. 1</w:t>
      </w:r>
    </w:p>
    <w:p>
      <w:r>
        <w:t>L'appel est dirigé contre une décision finale de première instance dans le cadre d'un litige portant sur une valeur litigieuse de plus de 10'000 fr. (art. 308 al. 1 let. a et al. 2 CPC). En effet, dans le cadre d'une action en revendication opposant le tiers revendiquant au poursuivant, la valeur litigieuse déterminante correspond à la plus petite des trois valeurs parmi la valeur d'estimation du bien mis sous mains de justice, le montant de la prétention déduite en poursuite par le poursuivant en cause et le montant de la créance garantie par gage, si la revendication porte sur un droit de gage (arrêts du Tribunal fédéral 5A_456/2015 du 30 novembre 2015 consid. 1.1.2 et 5A_55/2008 du 22 avril 2008 consid. 3.3). In casu, chacune de ces trois valeurs est manifestement supérieure à 10'000 fr.</w:t>
      </w:r>
    </w:p>
    <w:p>
      <w:r>
        <w:t>L'appel a au surplus a été introduit dans les 30 jours à compter de la notification de la décision motivée et il respecte la forme prescrite (art. 311 al. 1 CPC).</w:t>
      </w:r>
    </w:p>
    <w:p>
      <w:r>
        <w:t>Il est ainsi recevable.</w:t>
      </w:r>
    </w:p>
    <w:p>
      <w:r>
        <w:rPr>
          <w:b/>
        </w:rPr>
        <w:t>E. 2</w:t>
      </w:r>
    </w:p>
    <w:p>
      <w:r>
        <w:t>L'appelant reproche au Tribunal d'avoir écarté sa revendication. Il soutient avoir acquis les bijoux litigieux par contrat du 10 décembre 2014.</w:t>
      </w:r>
    </w:p>
    <w:p>
      <w:r>
        <w:rPr>
          <w:b/>
        </w:rPr>
        <w:t>E. 2.1.1</w:t>
      </w:r>
    </w:p>
    <w:p>
      <w:r>
        <w:t>Selon l'art. 106 al. 1 LP, applicable par analogie à la procédure de séquestre (art. 275 LP), lorsqu'il est allégué qu'un tiers a sur le bien saisi un droit de</w:t>
      </w:r>
    </w:p>
    <w:p>
      <w:r>
        <w:t>- 9/17 -</w:t>
      </w:r>
    </w:p>
    <w:p>
      <w:r>
        <w:t>C/1756/2018 propriété, de gage ou un autre droit qui s'oppose à la saisie ou qui doit être pris en considération dans la suite de la procédure d'exécution, l'Office des poursuites doit mentionner la prétention du tiers dans le procès-verbal de saisie ou, s'il a déjà été communiqué, informer les parties. Une fois que l'Office a reçu la déclaration de revendication, il doit répartir le rôle des parties au procès en s'en tenant aux déclarations du débiteur ou du tiers revendiquant, sans se faire juge du bien-fondé de la prétention alléguée (ATF 123 III 367 consid. 3b; 120 III 83 consid. 3b et les références citées; arrêt du Tribunal fédéral 5A_485/2021 du 31 janvier 2022 consid. 4.3).</w:t>
      </w:r>
    </w:p>
    <w:p>
      <w:r>
        <w:t>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arrêt du Tribunal fédéral 6B_737/2020 du 1er avril 2021 consid. 4).</w:t>
      </w:r>
    </w:p>
    <w:p>
      <w:r>
        <w:t>La répartition du rôle procédural n'a pas d'influence sur celle du fardeau de la preuve dans la procédure en revendication. Les règles générales de preuve, notamment l'art. 8 CC, s'appliquent. Partant, il appartient au tiers revendiquant, qu'il soit demandeur (art. 107 LP) ou défendeur (art. 108 LP),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(arrêt du Tribunal fédéral 5A_113/2018 du 12 septembre 2018 consid. 8.2.2 non publié aux ATF 144 III 541; ATF 117 II 124 consid. 2; VOCK / MEISTER-MÜLLER, SchKG-Klagen nach der Schweizerischen ZPO, 2ème éd. 2018, p. 196).</w:t>
      </w:r>
    </w:p>
    <w:p>
      <w:r>
        <w:rPr>
          <w:b/>
        </w:rPr>
        <w:t>E. 2.1.2</w:t>
      </w:r>
    </w:p>
    <w:p>
      <w:r>
        <w:t>Selon l'art. 100 LDIP, l'acquisition et la perte de droits réels mobiliers sont régies par le droit du lieu de situation du meuble au moment des faits sur lesquels se fonde l'acquisition ou la perte (al. 1). Le contenu et l'exercice de droits réels mobiliers sont régis par le droit du lieu de situation du meuble (al. 2).</w:t>
      </w:r>
    </w:p>
    <w:p>
      <w:r>
        <w:t>Il découle de la systématique légale qu'il faut distinguer, lors de la détermination du droit applicable, si la question porte sur l'acquisition ou la perte d'un droit réel ou sur le contenu et l'exercice de celui-ci (GAILLARD, Commentaire Romand - LDIP/CL, 2011, n. 3 ad art. 100 LDIP).</w:t>
      </w:r>
    </w:p>
    <w:p>
      <w:r>
        <w:t>Dans la première hypothèse, si le bien, lors du processus d'acquisition ou de perte du droit réel, ne quitte pas les frontières d'un Etat, que celui-ci soit la Suisse ou un Etat étranger, le lieu de situation du bien au moment des faits détermine le droit</w:t>
      </w:r>
    </w:p>
    <w:p>
      <w:r>
        <w:t>- 10/17 -</w:t>
      </w:r>
    </w:p>
    <w:p>
      <w:r>
        <w:t>C/1756/2018 applicable (GAILLARD, op. cit., n. 4 ad art. 100 LDIP; MÜLLER - CHEN, Zürcher Kommentar - IPRG, Band I, 3ème éd. 2018, n. 23 ad art. 100 LDIP). Ainsi, lorsqu'un bien est l'objet d'un transfert de propriété à l'étranger, puis qu'il est déplacé en Suisse, c'est le droit étranger qui est applicable pour déterminer si le transfert de propriété a eu lieu (GAILLARD, op. cit., n. 8 ad art. 100 LDIP; MÜLLER - CHEN, op. cit., n. 25 et suivantes ad art. 100 LDIP). Corollairement, le droit de propriété acquis à l'étranger demeure valable lors du déplacement dans un autre Etat : il n'est donc pas nécessaire d'examiner une seconde fois, selon le droit du pays de destination, si les conditions d'acquisition sont réalisées (FISCH / FISCH, Basler Kommentar - IPRG, 4ème éd. 2021, n. 31 ad art. 100 LDIP). A l'inverse, si l'acquisition n'a pas eu lieu, le droit de l'Etat où est déplacée ensuite la chose ne peut pas "guérir" cette situation (FISCH / FISCH, op. cit., n. 32 ad art. 100 LDIP; MÜLLER - CHEN, op. cit., n. 27 ad art. 100 LDIP). Ces principes s'appliquent non seulement à l'acquisition de la propriété, mais aussi de la possession (ATF 139 III 305 consid. 4.1).</w:t>
      </w:r>
    </w:p>
    <w:p>
      <w:r>
        <w:t>Selon la seconde hypothèse, qui porte sur le contenu ou l'exercice du droit réel, les présomptions légales comme celles découlant de la possession (art. 930 CC) sont appréciées en fonction du droit de lieu de situation de la chose (ATF 135 III 474 consid. 3.2.1; 135 III 305 consid. 3.1; GÖKSU, Handkommentar - IPRG, 4ème éd. 2024, n. 11 ad art. 100 LDIP). C'est donc le droit dans lequel se trouve actuellement la chose qui détermine l'étendue des droits acquis, par hypothèse, dans un Etat autre (MÜLLER - CHEN, op. cit., n. 61 et 63 ad art. 100 LDIP)</w:t>
      </w:r>
    </w:p>
    <w:p>
      <w:r>
        <w:t>A noter que, selon la doctrine dominante, c'est le droit applicable aux droits réels qui détermine si le transfert de propriété est soumis à l'exigence d'une cause juridique valable (principe de causalité; MÜLLER - CHEN, op. cit., n. 18 ad art. 100 LDIP; GÖKSU, op. cit., n. 5 ad art. 99 LDIP). Par contre, le droit applicable au contrat, comme cause juridique valable du transfert, est déterminant pour trancher, à titre préjudiciel, sa validité (Ibidem).</w:t>
      </w:r>
    </w:p>
    <w:p>
      <w:r>
        <w:rPr>
          <w:b/>
        </w:rPr>
        <w:t>E. 2.1.3</w:t>
      </w:r>
    </w:p>
    <w:p>
      <w:r>
        <w:t>A teneur de l'art. 104 al. 1 LDIP, les parties peuvent soumettre l'acquisition et la perte de droits réels mobiliers au droit de l'Etat d'expédition ou de destination ou au droit qui régit l'acte juridique de base. Selon l'al. 2 de cette disposition, l'élection de droit n'est pas opposable aux tiers.</w:t>
      </w:r>
    </w:p>
    <w:p>
      <w:r>
        <w:t>Selon certains auteurs, cette disposition doit être lue en conjonction avec le statut patrimonial. Ce principe prescrit que l'acquisition ou la perte d'un droit réel qui découle d'un contrat se fait en application du droit applicable au contrat, sans nécessité d'une élection de droit spécifique (GAILLARD, op. cit., n. 1 ad art. 104 LDIP). Pour d'autres auteurs et selon la jurisprudence, l'élection de droit doit expressément viser l'effet réel : une élection de droit se rapportant uniquement au rapport contractuel ne peut pas être étendue aux conséquences réelles (arrêt du Tribunal fédéral 6P.28/2006 du 26 juillet 2006 consid. 7.3; FISCH</w:t>
      </w:r>
    </w:p>
    <w:p>
      <w:r>
        <w:t>- 11/17 -</w:t>
      </w:r>
    </w:p>
    <w:p>
      <w:r>
        <w:t>C/1756/2018 / FISCH, op. cit., n. 10 ad art. 104 LDIP). Elle doit au contraire mentionner expressément celles-ci pour y être applicable (MÜLLER - CHEN, op. cit., n. 11 ad art. 100 LDIP).</w:t>
      </w:r>
    </w:p>
    <w:p>
      <w:r>
        <w:t>Encore faut-il qu'un élément d'extranéité soit présent dans le contexte de la transaction visée (GAILLARD, op. cit., n. 3 ad art. 104 LDIP; MÜLLER - CHEN, op. cit., n. 7 ad art. 104 LDIP).</w:t>
      </w:r>
    </w:p>
    <w:p>
      <w:r>
        <w:rPr>
          <w:b/>
        </w:rPr>
        <w:t>E. 2.1.4</w:t>
      </w:r>
    </w:p>
    <w:p>
      <w:r>
        <w:t>Aux termes de l'art. 118 al. 1 LDIP, les ventes mobilières sont régies par la Convention de La Haye du 15 juin 1955 sur la loi applicable aux ventes à caractère international d'objets mobiliers corporels (RS 0.221.211.4; ci-après: la Convention de La Haye).</w:t>
      </w:r>
    </w:p>
    <w:p>
      <w:r>
        <w:t>Selon l'art. 2 de la Convention de La Haye, la vente est régie par la loi interne du pays désigné par les parties contractantes (al. 1); cette désignation doit faire l'objet d'une clause expresse ou résulter indubitablement des dispositions du contrat (al. 2). A défaut de loi déclarée applicable par les parties, la vente est régie par la loi interne du pays où le vendeur a sa résidence habituelle au moment où il reçoit la commande (art. 3 al. 1 de la Convention de La Haye).</w:t>
      </w:r>
    </w:p>
    <w:p>
      <w:r>
        <w:rPr>
          <w:b/>
        </w:rPr>
        <w:t>E. 2.1.5</w:t>
      </w:r>
    </w:p>
    <w:p>
      <w:r>
        <w:t>Le contenu du droit étranger est établi d'office, la collaboration des parties pouvant néanmoins être requise à cet effet. En matière patrimoniale, la preuve peut être mise à la charge des parties (cf. art. 16 al. 1 LDIP; ATF 147 IV 361 consid. 8.1.3). Le droit suisse s'applique si le contenu du droit étranger ne peut pas être établi (art. 16 al. 2 LDIP).</w:t>
      </w:r>
    </w:p>
    <w:p>
      <w:r>
        <w:t>L'art. 16 al. 1 LDIP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1ère phrase LDIP). Il dispose néanmoins de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Néanmoins, même si les parties n'apportent pas la preuve</w:t>
      </w:r>
    </w:p>
    <w:p>
      <w:r>
        <w:t>- 12/17 -</w:t>
      </w:r>
    </w:p>
    <w:p>
      <w:r>
        <w:t>C/1756/2018 du droit étranger, le juge doit, conformément au principe "jura novit curia",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145 III 2013 consid. 6.1.2; 138 III 232 consid. 4.2.4; 124 I 49 consid. 3c; 119 II 93 consid. 2c/bb). La conséquence de l'impossibilité de démontrer le droit étranger n'est donc pas la perte du droit invoqué, mais l'application du droit suisse à titre supplétif (BUCHER, Commentaire romand - LDIP / CLug, 2011, n. 4 et suivantes, 14 et 23 ad art. 16 LDIP; GIRSBERGER / FURRER, Zürcher Kommentar - IPRG, Band I, 3ème éd. 2018, n. 12 et suivantes, 17 et suivantes et 22 et suivantes ad art. 16 LDIP).</w:t>
      </w:r>
    </w:p>
    <w:p>
      <w:r>
        <w:rPr>
          <w:b/>
        </w:rPr>
        <w:t>E. 2.1.6</w:t>
      </w:r>
    </w:p>
    <w:p>
      <w:r>
        <w:t>Selon l'art. 930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soit une possession "qualifiée" (ATF 141 III 7 consid. 4.2 et 4.3; 84 II 253 consid. 3; 76 II 345). La présomption cesse notamment en cas de possession suspecte ou équivoque (ATF 84 II 253 consid. 3; 84 III 141 consid. 3). Une possession est équivoque, par exemple, lorsque les circonstances entourant l'acquisition de la possession ou l'exercice de la maîtrise sont peu claires ou susceptibles de plusieurs explications (ATF 71 II 255), ou lorsque les circonstances dans lesquelles le possesseur est entré en possession sont restées obscures et font plutôt douter de la légitimité du titre en vertu duquel la possession a été acquise (ATF 141 III 7 consid. 4.3; 76 II 344).</w:t>
      </w:r>
    </w:p>
    <w:p>
      <w:r>
        <w:t>Il incombe au possesseur qui invoque la présomption de propriété d'apporter des explications suffisantes sur l'origine de sa possession. En particulier, lors d'un procès, le possesseur est tenu de dire ce qu'il sait pour élucider les faits, surtout lorsqu'il est mieux renseigné sur les circonstances de son acquisition que le non- possesseur (ATF 81 II 197 consid. 7b). S'il refuse de donner au sujet de son acquisition les renseignements qui pouvaient raisonnablement être exigés de lui, celle-ci devient suspecte, de telle sorte que la présomption de droit découlant de la possession disparaît (ATF 81 II 197 consid. 7b). Il a ainsi été jugé qu'une possession qui ne repose pas sur un acte d'acquisition ne saurait, même quand le possesseur se considère de bonne foi comme propriétaire, l'emporter sur une possession plus ancienne, qui se fonde sur un titre d'acquisition valable (ATF 81 II 197 consid. 7b; 65 II 62). Si le possesseur apporte des explications suffisantes sur l'origine de la possession, le non-possesseur doit supporter le fardeau de la preuve</w:t>
      </w:r>
    </w:p>
    <w:p>
      <w:r>
        <w:t>- 13/17 -</w:t>
      </w:r>
    </w:p>
    <w:p>
      <w:r>
        <w:t>C/1756/2018 du vice de possession (ATF 141 III 7 consid. 4.3; 81 II 197 consid. 7b; arrêt du Tribunal fédéral 5A_279/2008 du 16 septembre 2008 consid. 6.2).</w:t>
      </w:r>
    </w:p>
    <w:p>
      <w:r>
        <w:t>Comme pour toute présomption, l'effet de la présomption de l'art. 930 al. 1 CC peut être tenu en échec de deux façons: par une contre-preuve établissant que les conditions de la présomption ne sont pas remplies, par exemple que la possession est viciée, ou par la preuve du contraire, dont le thème est d'établir que le possesseur n'est pas le propriétaire. A défaut de présomption, le demandeur peut cependant faire la preuve directe de sa propriété sans l'aide de la présomption (ATF 84 II 253 consid. 4; arrêt du Tribunal fédéral 5A_279/2008 du 16 septembre 2008 consid. 6.2).</w:t>
      </w:r>
    </w:p>
    <w:p>
      <w:r>
        <w:t>Enfin, lorsque l'appréciation des preuves convainc le juge que le fait litigieux est établi, la répartition du fardeau de la preuve (art. 8 CC) n'a plus d'objet (ATF 132 III 626 consid. 3.4; 119 II 114 consid. 4c et les arrêts cités).</w:t>
      </w:r>
    </w:p>
    <w:p>
      <w:r>
        <w:rPr>
          <w:b/>
        </w:rPr>
        <w:t>E. 2.2</w:t>
      </w:r>
    </w:p>
    <w:p>
      <w:r>
        <w:t>En l'espèce, le premier juge a écarté la revendication de l'appelant en retenant qu'il n'avait pas acquis la propriété des bijoux litigieux par contrat de vente du 10 décembre 2014, sans mentionner les normes légales appliquées pour parvenir à cette solution. Au vu du domicile de l'appelant à l'étranger, ainsi que de l'existence d'un prétendu transfert de propriété concernant des bijoux, choses mobilières, à l'étranger, la cause présente un caractère international qui impose d'examiner la question du droit applicable.</w:t>
      </w:r>
    </w:p>
    <w:p>
      <w:r>
        <w:t>Le transfert de propriété litigieux allégué, à savoir l'acquisition des bijoux objet de la présente procédure, aurait eu lieu en Arabie Saoudite, entre deux citoyens- résidents de ce pays; le contrat de vente, qui ne contient aucune élection de droit, aurait été établi, selon son texte, dans ce pays. Il en découle que l'effet des règles de conflit de loi relatives tant à l'acquisition de la propriété des choses mobilières qu'à la vente mobilière converge vers l'application du droit saoudien. En effet, à ce stade, il n'est contesté ni par l'intimée qui soutient avoir vendu les bijoux à un résident d'Arabie Saoudite, ni par l'appelant qui soutient les avoir achetés à l'épouse de celui-ci, que les bijoux se trouvaient dans cet Etat au moment des faits litigieux. De même, le contrat établi dans l'Etat en question, domicile des deux co- contractants, et dépourvu d'élection de droit est en principe soumis au droit saoudien.</w:t>
      </w:r>
    </w:p>
    <w:p>
      <w:r>
        <w:t>L'application du droit saoudien a par ailleurs été expressément admise par les parties lors de l'audience du 11 octobre 2019. Elles ont toutes deux produit un avis de droit relatif à cet ordre juridique dont les teneurs sont toutefois contradictoires. Alors que le Tribunal avait invité les parties à lui communiquer le nom d'un expert et que l'intimée a proposé un avocat saoudien à cet effet, le Tribunal a renoncé à ordonner une expertise pour établir le contenu du droit saoudien. Il n'a pas pris</w:t>
      </w:r>
    </w:p>
    <w:p>
      <w:r>
        <w:t>- 14/17 -</w:t>
      </w:r>
    </w:p>
    <w:p>
      <w:r>
        <w:t>C/1756/2018 d'autres mesures pour établir le contenu de ce droit ni exposé s'il entendait trancher le litige à la lumière du droit suisse. L'on ne saurait en particulier retenir que les parties auraient tacitement conclu à une élection de droit suisse, puisqu'elles ont expressément déclaré que le droit saoudien était applicable et qu'elles n'ont cité aucune disposition de droit suisse en lien avec le transfert de propriété des bijoux litigieux. Il en va de même de leur renonciation à toute mesure probatoire supplémentaire à l'issue des débats, qui ne permettait pas non plus au Tribunal de renoncer à établir le droit étranger, qu'il lui appartient de déterminer d'office. Il est vrai que dans l'arrêt rendu par la Cour le 12 février 2019 sur opposition à séquestre, la question du droit applicable avait été mentionnée et abordée différemment, puisqu'il avait alors été retenu qu'il n'était pas arbitraire de renoncer à établir le contenu du droit étranger et d'appliquer le droit suisse (ACJC/220/2019 consid. 2.1). Cette solution, justifiée par le fait qu'elle a été retenue dans le cadre d'une procédure sommaire, soumise à une exigence de célérité et limitant le degré de preuve à la vraisemblance, ne lie pas le juge dans la présente procédure ordinaire.</w:t>
      </w:r>
    </w:p>
    <w:p>
      <w:r>
        <w:t>La question du transfert de propriété des biens revendiqués est ainsi soumise au droit saoudien.</w:t>
      </w:r>
    </w:p>
    <w:p>
      <w:r>
        <w:rPr>
          <w:b/>
        </w:rPr>
        <w:t>E. 2.3</w:t>
      </w:r>
    </w:p>
    <w:p>
      <w:r>
        <w:t>Reste à déterminer si la présomption de propriété découlant de la possession, prévue par le droit suisse en son art. 930 CC, permet de statuer sur l'existence d'un droit préférable dans la présente procédure de contestation de revendication sans recourir à l'établissement du droit étranger.</w:t>
      </w:r>
    </w:p>
    <w:p>
      <w:r>
        <w:t>Il est vrai que, contrairement aux considérants qui précèdent relatifs à l'acquisition d'un droit de propriété, l'exercice d'un éventuel droit réel sur les bijoux serait soumis au droit suisse, dès lors que ceux-ci se trouvaient (pour ceux qui ont été vendus) et se trouvent toujours (pour ceux qui n'ont pas été vendus), en mains d'un tiers, à Genève (art. 100 al. 2 LDIP).</w:t>
      </w:r>
    </w:p>
    <w:p>
      <w:r>
        <w:t>La mise en œuvre de la présomption de propriété découlant de la possession suppose toutefois que cette possession soit qualifiée, ce qui n'apparaît pas être le cas en l'espèce : les éléments avancés par l'intimée résultant des considérants du jugement entrepris et de l'arrêt de la Cour du 12 février 2019 permettent en effet de douter de la légitimité de cette possession et, donc, d'exiger de l'appelant qu'il prouve la légitimité de son droit de propriété en adéquation avec les règles de la loi sur la poursuite pour dettes et la faillite.</w:t>
      </w:r>
    </w:p>
    <w:p>
      <w:r>
        <w:t>Ainsi, le droit suisse de la possession, même sous l'angle du lieu de situation actuel des bijoux, ne dispense pas le Tribunal d'établir le droit saoudien, ou de</w:t>
      </w:r>
    </w:p>
    <w:p>
      <w:r>
        <w:t>- 15/17 -</w:t>
      </w:r>
    </w:p>
    <w:p>
      <w:r>
        <w:t>C/1756/2018 tenter le faire, aux fins de déterminer si l'appelant a acquis la propriété des biens litigieux.</w:t>
      </w:r>
    </w:p>
    <w:p>
      <w:r>
        <w:rPr>
          <w:b/>
        </w:rPr>
        <w:t>E. 2.4</w:t>
      </w:r>
    </w:p>
    <w:p>
      <w:r>
        <w:t>La procédure fait enfin apparaître que le contenu du droit saoudien n'est pas aisé à déterminer : il ne semble en effet pas facilement accessible et les avis de droit produits par les parties, discordants, laissent entrevoir la complexité des sources de ce droit. Il convient dans ces circonstances de renvoyer la cause au Tribunal afin qu'il détermine le contenu du droit saoudien, en ordonnant, cas échéant, une expertise à confier à un expert proposé par les parties ou à l'Institut de droit comparé, afin d'être en mesure de trancher la question de savoir si l'appelant a valablement acquis la propriété des bijoux litigieux. S'il devait s'avérer que les mesures entreprises ne permettaient pas d'établir le droit étranger ou conduisaient à des résultats peu fiables, le Tribunal pourra, alors, décider d'appliquer le droit suisse à titre supplétif. Au vu de ce qui précède, le jugement attaqué sera annulé. Cela fait, la cause sera renvoyée au premier juge pour qu'il procède dans le sens des considérants.</w:t>
      </w:r>
    </w:p>
    <w:p>
      <w:r>
        <w:rPr>
          <w:b/>
        </w:rPr>
        <w:t>E. 3.1</w:t>
      </w:r>
    </w:p>
    <w:p>
      <w:r>
        <w:t>Etant donné que le jugement entrepris est annulé et la cause renvoyée à l'autorité de première instance pour nouvelle décision, il n'y a pas lieu de statuer sur les frais de première instance (art. 104 al. 1 CPC a contrario).</w:t>
      </w:r>
    </w:p>
    <w:p>
      <w:r>
        <w:rPr>
          <w:b/>
        </w:rPr>
        <w:t>E. 3.2</w:t>
      </w:r>
    </w:p>
    <w:p>
      <w:r>
        <w:t>Les frais judiciaires relatifs à la procédure d'appel seront arrêtés à 20'000 fr., au vu de la valeur litigieuse, de la complexité des faits et des questions juridiques traitées (art. 2, 17 et 35 RTFMC; art. 19 LaCC), mis à la charge de l'intimée qui succombe (art. 106 al. 1 CPC) et compensés avec l'avance de frais fournie par l'appelant, laquelle demeure acquise à l'Etat de Genève à due concurrence (art. 111 al. 1 CPC), le solde lui étant restitué. L'intimée sera dès lors condamnée à verser à l'appelant 20'000 fr. à titre de remboursement des frais judiciaires d'appel (art. 111 al. 2 CPC).</w:t>
      </w:r>
    </w:p>
    <w:p>
      <w:r>
        <w:t>Eu égard à la valeur litigieuse, au caractère non final de la procédure d'appel et à l'activité déployée par le conseil de l'appelant, les dépens d'appel seront arrêtés à 10'000 fr., débours inclus (art. 95 al. 3 CPC; art. 85, 87 et 90 RTFMC; art. 20 al. 1, 25 et 26 al. 1 LaCC). L'intimée, qui succombe, sera condamnée à les verser à l'appelant.</w:t>
      </w:r>
    </w:p>
    <w:p>
      <w:r>
        <w:rPr>
          <w:b/>
        </w:rPr>
        <w:t>E. 3.3</w:t>
      </w:r>
    </w:p>
    <w:p>
      <w:r>
        <w:t>Les sûretés en garantie des dépens seront restituées à l'appelant. * * * * *</w:t>
      </w:r>
    </w:p>
    <w:p>
      <w:r>
        <w:t>- 16/17 -</w:t>
      </w:r>
    </w:p>
    <w:p>
      <w:r>
        <w:t>C/1756/2018 PAR CES MOTIFS, La Chambre civile : A la forme : Déclare recevable l'appel interjeté par A______ le 15 février 2023 contre le jugement JTPI/460/2023 rendu le 13 janvier 2023 par le Tribunal de première instance dans la cause C/1756/2018. Au fond : Annule le jugement entrepris. Renvoie la cause au Tribunal de première instance pour suite d'instruction et nouvelle décision dans le sens des considérants. Sur les frais : Arrête les frais judiciaires d'appel à 20'000 fr., les met à la charge de D______ SA et les compense à due concurrence avec l'avance versée par A______. Invite les Services financiers du Pouvoir judiciaire à restituer le solde de dite avance de frais judiciaires d'appel, soit 115'000 fr., à A______. Condamne D______ SA à verser à A______ 10'000 fr. à titre de dépens d'appel. Invite les Services financiers du Pouvoir judiciaire à restituer les sûretés en garantie des dépens versées par A______. Siégeant : Monsieur Laurent RIEBEN, président, Madame Ursula ZEHETBAUER GHAVAMI, Madame Nathalie RAPP, juges; Madame Sophie MARTINEZ, greffière.</w:t>
      </w:r>
    </w:p>
    <w:p>
      <w:r>
        <w:t>- 17/17 -</w:t>
      </w:r>
    </w:p>
    <w:p>
      <w:r>
        <w:t>C/1756/2018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