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ACJC/736/2019 vom 27. Mai 2019</w:t>
      </w:r>
    </w:p>
    <w:p>
      <w:r>
        <w:t>GE Cour de justice, 2019-05-27, FR</w:t>
      </w:r>
    </w:p>
    <w:p>
      <w:r>
        <w:rPr>
          <w:b/>
        </w:rPr>
        <w:t xml:space="preserve">Quelle: </w:t>
      </w:r>
      <w:r>
        <w:t>https://mcp.opencaselaw.ch/entscheid/ge_gerichte_ACJC_736_2019</w:t>
      </w:r>
    </w:p>
    <w:p>
      <w:r>
        <w:t>FR: GE_GERICHTE ACJC/736/2019 du 27 mai 2019</w:t>
      </w:r>
    </w:p>
    <w:p>
      <w:r>
        <w:t>IT: GE_GERICHTE ACJC/736/2019 del 27 maggio 2019</w:t>
      </w:r>
    </w:p>
    <w:p>
      <w:pPr>
        <w:pStyle w:val="Heading2"/>
      </w:pPr>
      <w:r>
        <w:t>Erwägungen</w:t>
      </w:r>
    </w:p>
    <w:p>
      <w:r>
        <w:rPr>
          <w:b/>
        </w:rPr>
        <w:t>E. 15</w:t>
      </w:r>
    </w:p>
    <w:p>
      <w:r>
        <w:t>février 2011 courent sur ce montant;</w:t>
      </w:r>
    </w:p>
    <w:p>
      <w:r>
        <w:t>Qu'à teneur du dispositif de cet arrêt, la Cour a constaté que le cité devait à la requérante la somme de 68'884 fr. faisant l'objet de la poursuite n° 1______ au titre de contribution à l'entretien de la famille pour la période du 1er janvier 2010 au 31 octobre 2011 et annulé cette poursuite pour tout montant supérieur à cette somme;</w:t>
      </w:r>
    </w:p>
    <w:p>
      <w:r>
        <w:t>Qu'il ne résulte pas des motifs de cette décision que ce montant porte intérêts;</w:t>
      </w:r>
    </w:p>
    <w:p>
      <w:r>
        <w:t>Qu'il n'existe ainsi aucune contradiction entre le dispositif de l'arrêt et ses considérants;</w:t>
      </w:r>
    </w:p>
    <w:p>
      <w:r>
        <w:t>- 4/5 -</w:t>
      </w:r>
    </w:p>
    <w:p>
      <w:r>
        <w:t>C/22188/2017</w:t>
      </w:r>
    </w:p>
    <w:p>
      <w:r>
        <w:t>Que la lecture du texte de l'arrêt ne permet pas de retenir que le dispositif est incomplet;</w:t>
      </w:r>
    </w:p>
    <w:p>
      <w:r>
        <w:t>Qu'il n'y a en conséquence pas place à interprétation au sens de l'art. 334 al. 1er CPC, de sorte que la requête sera rejetée;</w:t>
      </w:r>
    </w:p>
    <w:p>
      <w:r>
        <w:t>Que les frais judiciaires seront arrêtés à 200 fr. (art. 44 al. 1er RTFMC), seront mis à la charge de la requérante, qui succombe (art. 106 al. 1er CPC).</w:t>
      </w:r>
    </w:p>
    <w:p>
      <w:r>
        <w:t>* * * * *</w:t>
      </w:r>
    </w:p>
    <w:p>
      <w:r>
        <w:t>- 5/5 -</w:t>
      </w:r>
    </w:p>
    <w:p>
      <w:r>
        <w:t>C/22188/2017 PAR CES MOTIFS, La Chambre civile : A la forme : Déclare recevable la requête en interprétation de l'arrêt ACJC/1822/2018 du</w:t>
      </w:r>
    </w:p>
    <w:p>
      <w:r>
        <w:rPr>
          <w:b/>
        </w:rPr>
        <w:t>E. 18</w:t>
      </w:r>
    </w:p>
    <w:p>
      <w:r>
        <w:t>décembre 2018 déposée par A______ le 5 avril 2019 dans la cause C/22188/2017-9. Au fond : La rejette. Arrête les frais judiciaires à 200 fr. et les met à la charge de A______. Condamne A______ à verser 200 fr. aux Services financiers du Pouvoir judiciaire. Siégeant : Madame Ursula ZEHETBAUER GHAVAMI, présidente; Monsieur Ivo BUETTI et Madame Nathalie RAPP, juges; Madame Camille LESTEVEN, greffière.</w:t>
      </w:r>
    </w:p>
    <w:p>
      <w:r>
        <w:t>La présidente :</w:t>
      </w:r>
    </w:p>
    <w:p>
      <w:r>
        <w:t>Ursula ZEHETBAUER GHAVAMI</w:t>
      </w:r>
    </w:p>
    <w:p>
      <w:r>
        <w:t>La greffière :</w:t>
      </w:r>
    </w:p>
    <w:p>
      <w:r>
        <w:t>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