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ACJC/735/2023 vom 8. Juni 2023</w:t>
      </w:r>
    </w:p>
    <w:p>
      <w:r>
        <w:t>GE Cour de justice, 2023-06-08, FR</w:t>
      </w:r>
    </w:p>
    <w:p>
      <w:r>
        <w:rPr>
          <w:b/>
        </w:rPr>
        <w:t xml:space="preserve">Quelle: </w:t>
      </w:r>
      <w:r>
        <w:t>https://mcp.opencaselaw.ch/entscheid/ge_gerichte_ACJC_735_2023</w:t>
      </w:r>
    </w:p>
    <w:p>
      <w:r>
        <w:t>FR: GE_GERICHTE ACJC/735/2023 du 8 juin 2023</w:t>
      </w:r>
    </w:p>
    <w:p>
      <w:r>
        <w:t>IT: GE_GERICHTE ACJC/735/2023 del 8 giugno 2023</w:t>
      </w:r>
    </w:p>
    <w:p>
      <w:pPr>
        <w:pStyle w:val="Heading2"/>
      </w:pPr>
      <w:r>
        <w:t>Volltext</w:t>
      </w:r>
    </w:p>
    <w:p>
      <w:r>
        <w:t>Le présent arrêt est communiqué aux parties par plis recommandés du 8 juin 2023.</w:t>
      </w:r>
    </w:p>
    <w:p>
      <w:r>
        <w:t>REPUBLIQUE ET</w:t>
      </w:r>
    </w:p>
    <w:p>
      <w:r>
        <w:t>CANTON DE GENEVE POUVOIR JUDICIAIRE C/12536/2022 ACJC/735/2023 ARRÊT DE LA COUR DE JUSTICE Chambre civile DU MERCREDI 7 JUIN 2023</w:t>
      </w:r>
    </w:p>
    <w:p>
      <w:r>
        <w:t>Entre Monsieur A______, domicilié ______, appelant d'une ordonnance rendue par la 3ème Chambre du Tribunal de première instance de ce canton le 11 mai 2023, comparant par Me Agnieszka RACIBORSKA, avocate, KULIK SEIDLER, rue du Rhône 116, 1204 Genève, en l'Étude de laquelle il fait élection de domicile, et Madame B______, domiciliée ______, intimée, comparant par Me Malini TOSETTI, avocate, TVT Avocats, rue Jean-Sénebier 4, 1205 Genève, en l'Étude de laquelle elle fait élection de domicile.</w:t>
      </w:r>
    </w:p>
    <w:p>
      <w:r>
        <w:t>- 2/5 -</w:t>
      </w:r>
    </w:p>
    <w:p>
      <w:r>
        <w:t>C/12536/2022 Vu, EN FAIT, l’ordonnance OTPI/316/2023 du 11 mai 2023, par laquelle le Tribunal de première instance (ci-après : le Tribunal), statuant sur mesures provisionnelles, a ordonné le maintien de l’exercice en commun par B______ et A______ de l’autorité parentale sur la mineure C______ (chiffre 1 du dispositif), ordonné le maintien de l’exercice, entre les deux parents, d’une garde alternée sur ladite mineure, selon les modalités suivantes : du dimanche soir au mercredi soir chez la mère et du mercredi soir au vendredi soir chez le père et du vendredi soir au dimanche soir en alternance chez chaque parent, de même que durant la moitié des vacances scolaires (ch. 2), fixé le domicile légal de la mineure chez la mère (ch. 3), condamné le père à verser en mains de B______, par mois et d’avance, allocations familiales ou de formation en sus, une contribution à l’entretien de la mineure C______ de 1'155 fr. avec effet au 1er juin 2023 (ch. 4), condamné A______ à verser, au titre de l’entretien dû à la mineure, du 1er juillet 2022 au 31 mai 2023, 6'605 fr. en mains de B______ (ch. 5), condamné cette dernière à payer toutes les charges de la mineure, récurrentes ou non (ch. 6), ordonné aux parents de payer les éventuels frais futurs extraordinaires imprévus relatifs à la mineure à raison de ¼ pour la mère et de ¾ pour le père (ch. 7), arrêté et réparti les frais judiciaires, sans octroyer de dépens (ch. 8 et 9) et débouté les parties de toutes autres conclusions (ch. 10); Vu l’appel formé le 25 mai 2023 par A______ contre cette ordonnance, reçue le 15 mai 2023, concluant à l’annulation des chiffres 2, 4, 5 et 7 du dispositif et cela fait à ce que le maintien de la garde alternée sur l’enfant C______ soit ordonné, d’entente entre les parents et la mineure, et à défaut du dimanche soir au mercredi midi chez la mère et du mercredi midi au vendredi soir chez le père, un week-end sur deux en alternance chez chacun des parents, ainsi que durant la moitié des vacances scolaires, à ce que B______ soit déboutée de ses conclusions sur mesures provisionnelles, à ce qu’il soit dit qu’aucune contribution d’entretien n’est due en faveur de l’enfant C______ pour la période du 1er juillet 2022 au 31 mai 2023, à ce qu’il soit donné acte à l’appelant de ce qu’il s’engage à s’acquitter des 2/3 des charges fixes de C______, soit assurance maladie, hébergement à Bâle, téléphone, argent de poche, frais de transport, arrêtées à 1'600 fr., sous déduction des allocations familiales, jusqu’à fin juin 2023, à ce qu’il lui soit donné acte de son engagement à s’acquitter de l’entier des charges fixes de la mineure C______, soit assurance maladie, téléphone, argent de poche, frais de transport, répétiteur, arrêtées à 595 fr., sous déduction des allocations familiales, depuis juillet 2023 ; l’appelant a également conclu à ce que B______ soit condamnée à lui restituer les contributions d’entretien payées depuis le 1er juin 2023, soit 1'155 fr. par mois et à ce que les frais extraordinaires de C______ soient partagés par moitié, moyennant accord préalable des parties sur le principe et le montant de la dépens, avec suite de frais judiciaires et dépens; Vu la requête d’effet suspensif portant sur le chiffre 5 de l’ordonnance attaquée;</w:t>
      </w:r>
    </w:p>
    <w:p>
      <w:r>
        <w:t>- 3/5 -</w:t>
      </w:r>
    </w:p>
    <w:p>
      <w:r>
        <w:t>C/12536/2022 Que sur ce point, l’appelant a allégué ne pas être en mesure de s’acquitter des arriérés de contributions d’entretien mis à sa charge pour la période du 1er juillet 2022 au 31 mai 2023 ; qu’il avait en effet des dettes, dont le premier juge n’avait pas tenu compte ; que par ailleurs, il ne disposait d’aucune garantie que l’intimée lui restitue l’éventuel trop perçu s’il obtenait gain de cause devant la Cour; Que l’intimée s’en est rapportée à l’appréciation de la Cour, la requête d’effet suspensif étant limitée au seul arriéré en 6'605 fr.;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la requête d’effet suspensif ne porte que sur le paiement de la somme de 6'605 fr. correspondant à la contribution due à l’entretien de la mineure C______ pour la période allant du 1er juillet 2022 au 31 mai 2023; Qu’il s’agit par conséquent d’un montant dû pour une période désormais révolue; Que l’intimée peut par conséquent, sans subir de dommage, attendre l’issue de la procédure d’appel pour obtenir, le cas échéant, le versement dudit montant; Que l’intimée s’en est d’ailleurs rapportée à l’appréciation de la Cour sur l’octroi de l’effet suspensif; Qu’au vu de ce qui précède, il sera fait droit à la requête;</w:t>
      </w:r>
    </w:p>
    <w:p>
      <w:r>
        <w:t>- 4/5 -</w:t>
      </w:r>
    </w:p>
    <w:p>
      <w:r>
        <w:t>C/12536/2022 Qu'il sera statué sur les frais et dépens liés à la présente décision avec l'arrêt au fond (art. 104 al. 3 CPC). * * * *</w:t>
      </w:r>
    </w:p>
    <w:p>
      <w:r>
        <w:t>- 5/5 -</w:t>
      </w:r>
    </w:p>
    <w:p>
      <w:r>
        <w:t>C/12536/2022</w:t>
      </w:r>
    </w:p>
    <w:p>
      <w:r>
        <w:t>PAR CES MOTIFS, La présidente de la Chambre civile : Statuant sur requête de suspension du caractère exécutoire de l'ordonnance entreprise : Ordonne la suspension du caractère exécutoire attaché au chiffre 5 du dispositif de l'ordonnance OTPI/316/2023 rendue le 11 mai 2023 par le Tribunal de première instance dans la cause C/12536/2022. Dit qu'il sera statué sur les frais liés à la présente décision dans l'arrêt rendu sur le fond. Siégeant : Madame Paola CAMPOMAGNANI, présidente; Madame Sophie MARTINEZ,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