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ACJC/735/2019 vom 27. Mai 2019</w:t>
      </w:r>
    </w:p>
    <w:p>
      <w:r>
        <w:t>GE Cour de justice, 2019-05-27, FR</w:t>
      </w:r>
    </w:p>
    <w:p>
      <w:r>
        <w:rPr>
          <w:b/>
        </w:rPr>
        <w:t xml:space="preserve">Quelle: </w:t>
      </w:r>
      <w:r>
        <w:t>https://mcp.opencaselaw.ch/entscheid/ge_gerichte_ACJC_735_2019</w:t>
      </w:r>
    </w:p>
    <w:p>
      <w:r>
        <w:t>FR: GE_GERICHTE ACJC/735/2019 du 27 mai 2019</w:t>
      </w:r>
    </w:p>
    <w:p>
      <w:r>
        <w:t>IT: GE_GERICHTE ACJC/735/2019 del 27 maggio 2019</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Un litige portant sur le montant de la contribution à l'entretien de l'épouse est de nature pécuniaire (ATF 133 III 393 consid. 2; arrêts du Tribunal fédéral 5A_42/2013 du 27 juin 2013 consid. 1.1; 5A_906/2012 du 18 avril 2013 consid. 1; 5A_236/2011 du 18 octobre 2011 consid. 1; 5A_511/2010 du 4 février 2011 consid. 1.1). La capitalisation du montant de la contribution d'entretien restée litigieuse au vu des dernières conclusions des parties devant le premier juge excède 10'000 fr. (800 fr. x 12 x 20, selon l'art. 92 al. 2 CPC), de sorte que la voie de l'appel est ouverte.</w:t>
      </w:r>
    </w:p>
    <w:p>
      <w:r>
        <w:rPr>
          <w:b/>
        </w:rPr>
        <w:t>E. 1.2</w:t>
      </w:r>
    </w:p>
    <w:p>
      <w:r>
        <w:t>Interjeté dans le délai de dix jours (art. 142 al. 3, 248 let. d, 271 et 314 al. 1 CPC) et selon la forme prescrite par la loi (art. 130, 131, 252 et 311 CPC), l'appel est recevable.</w:t>
      </w:r>
    </w:p>
    <w:p>
      <w:r>
        <w:rPr>
          <w:b/>
        </w:rPr>
        <w:t>E. 1.3</w:t>
      </w:r>
    </w:p>
    <w:p>
      <w:r>
        <w:t>La Cour revoit la cause avec un plein pouvoir d'examen (art. 310 CPC) et établit les faits d'office (art. 272 CPC). Toutefois, les mesures protectrices de</w:t>
      </w:r>
    </w:p>
    <w:p>
      <w:r>
        <w:t>- 5/11 -</w:t>
      </w:r>
    </w:p>
    <w:p>
      <w:r>
        <w:t>C/5440/2018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w:t>
      </w:r>
    </w:p>
    <w:p>
      <w:r>
        <w:t>Les maximes de disposition (art. 58 al. 1 CPC; ATF 128 III 411 consid. 3.2.2) et des débats (art. 55 al. 1 et 277 CPC) sont applicables s'agissant de la contribution d'entretien en faveur de l'un des époux (arrêts du Tribunal fédéral 5A_831/2016 du 21 mars 2017 consid. 4.4; 5A_757/2013 du 14 juillet 2014 consid. 2.1).</w:t>
      </w:r>
    </w:p>
    <w:p>
      <w:r>
        <w:rPr>
          <w:b/>
        </w:rPr>
        <w:t>E. 2</w:t>
      </w:r>
    </w:p>
    <w:p>
      <w:r>
        <w:t>L'appelante étant de nationalité française, le litige présente un élément d'extranéité. Au vu du domicile genevois des parties, la Cour est compétente pour statuer sur la contribution due à l'entretien de l'épouse, seul point litigieux en appel (art. 46 LDIP). Le droit suisse est applicable (art. 49 LDIP et art. 4 de la Convention de La Haye du 2 octobre 1973 sur la loi applicable aux obligations alimentaires).</w:t>
      </w:r>
    </w:p>
    <w:p>
      <w:r>
        <w:rPr>
          <w:b/>
        </w:rPr>
        <w:t>E. 3</w:t>
      </w:r>
    </w:p>
    <w:p>
      <w:r>
        <w:t>L'appelante a produit des pièces nouvelles à l'appui de son écriture de réplique.</w:t>
      </w:r>
    </w:p>
    <w:p>
      <w:r>
        <w:rPr>
          <w:b/>
        </w:rPr>
        <w:t>E. 3.1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rPr>
          <w:b/>
        </w:rPr>
        <w:t>E. 3.2</w:t>
      </w:r>
    </w:p>
    <w:p>
      <w:r>
        <w:t>En l'espèce, le procès-verbal du Ministère public du 18 octobre 2018, ainsi que les certificats médicaux portant sur les périodes du 7 septembre 2018 au 7 octobre 2018, puis du 7 octobre 2018 au 7 novembre 2018 sont recevables, puisque ces titres ont été établis postérieurement au dépôt du mémoire d'appel. Il en va de même des allégations qu'ils visent. En revanche, le certificat médical portant sur la période du 7 août au 7 septembre 2018, établi le 7 août 2018, est irrecevable : en effet, l'appelante n'explique pas en quoi elle aurait été dans l'impossibilité de le produire plus tôt, à l'appui de son mémoire d'appel, de sorte qu'il a été invoqué tardivement.</w:t>
      </w:r>
    </w:p>
    <w:p>
      <w:r>
        <w:rPr>
          <w:b/>
        </w:rPr>
        <w:t>E. 4</w:t>
      </w:r>
    </w:p>
    <w:p>
      <w:r>
        <w:t>L'appelante fait grief au Tribunal d'avoir statué sur la contribution due à son entretien en appliquant, à tort, les critères fixés à l'art. 125 CC au lieu de ceux prévus à l'art. 163 CC. Elle reproche également au premier juge de ne pas avoir retenu comme pertinent le fait qu'elle avait quitté son logement en France pour s'installer avec son mari, "renonçant ainsi à ses meubles et à son indépendance, notamment financière". De même, le Tribunal avait omis de tenir compte de l'impact que le mariage avait eu sur sa situation personnelle et familiale, eu égard</w:t>
      </w:r>
    </w:p>
    <w:p>
      <w:r>
        <w:t>- 6/11 -</w:t>
      </w:r>
    </w:p>
    <w:p>
      <w:r>
        <w:t>C/5440/2018 aux "violences intervenues au sein de la famille, notamment sur son fils C______". 4.1.1 En cas de suspension de la vie commune, le juge fixe les contributions d'entretien à verser respectivement aux enfants et à l'époux (art. 176 al. 1 ch. 1 CC). Même lorsqu'on ne peut plus sérieusement compter sur la reprise de la vie commune, l'art. 163 CC demeure la cause de l'obligation d'entretien réciproque des époux en mesures protectrices de l'union conjugale. Le juge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En revanche, le juge des mesures provisionnelles ne doit pas trancher, même sous l'angle de la vraisemblance, les questions de fond, objet du procès en divorce, en particulier celle de savoir si le mariage a influencé concrètement la situation financière du conjoint (arrêt du Tribunal fédéral 5A_267/2018 du 5 juillet 2018 consid. 5.1.1; ATF 137 III 385 consid. 3.1 précisant l'ATF 128 III 65; arrêts du Tribunal fédéral 5A_904/2015 du 29 septembre 2016 consid. 5.1; 5A_651/2011 du 26 avril 2012 consid. 6.1.3.2 non publié in ATF 138 III 374). Le principe et le montant de la contribution d'entretien due selon l'art. 176 al. 1 ch. 1 CC se déterminent en fonction des facultés économiques et des besoins respectifs des époux. Tant que dure le mariage, les époux doivent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4.1.2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 L'une des méthodes de calcul tant que dure le mariage (art. 176 al. 1 ch. 1 CC en relation avec l'art. 163 al. 1 CC) est celle dite du minimum vital, avec répartition de l'excédent (arrêts du Tribunal fédéral 5A_970/2017 du 7 juin 2018 conid. 4.2; 5A_860/2013 du 29 janvier 2014 consid. 4.1; 5A_547/2012 du 14 mars 2013 consid. 4.1).</w:t>
      </w:r>
    </w:p>
    <w:p>
      <w:r>
        <w:t>- 7/11 -</w:t>
      </w:r>
    </w:p>
    <w:p>
      <w:r>
        <w:t>C/5440/2018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 maladie complémentaire, les cotisations au 3ème pilier et le remboursement des dettes contractées pendant la vie commune pour le bénéfice de la famille, ou décidées en commun, ou dont les époux sont débiteurs solidaires (BASTONS BULLETTI, L'entretien après divorce : méthodes de calcul, montant, durée et limites, in SJ 2007 II 77, p. 89, 90 et 102). Ne font pas partie du minimum vital du droit des poursuites les dettes, lesquelles cèdent le pas aux obligations d'entretien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2.3.1). Les charges d'un enfant mineur comprennent une participation aux frais de logement du parent gardien (arrêt du Tribunal fédéral 5A_533/2010 du 24 novembre 2010 consid. 2.1). A cet égard, la part d'un enfant sur le loyer du logement familial peut être fixée à 20% (BASTONS BULLETTI, L'entretien après divorce : méthodes de calcul, montant, durée et limites, in SJ 2007 p. 77 ss, note 140 p. 102). Les allocations familiales, qui ne sont pas prises en compte dans le revenu du parent qui les reçoit, doivent être soustraites du coût d'entretien de l'enfant (arrêt du Tribunal fédéral 5A_386/2012 du 23 juillet 2012 consid. 4.3.1). Fait parfois partie du minimum vital, le coût d'entretien d'un enfant mineur d'un premier lit dont le débirentier a la garde. Dès que la situation le permet, l'assistance financière versée à des tiers, tel qu'un enfant majeur, est ajoutée aux charges incompressibles, à condition qu'elle ne dépasse pas une mesure raisonnable eu égard aux revenus du débiteur (BASTONS BULLETTI, op. cit., p. 91;</w:t>
      </w:r>
    </w:p>
    <w:p>
      <w:r>
        <w:t>- 8/11 -</w:t>
      </w:r>
    </w:p>
    <w:p>
      <w:r>
        <w:t>C/5440/2018 ACJC/659/2014 du 30 mai 2014, consid. 6.1; ACJC/1429/2014 du 21 novembre 2014, consid. 5.2). 4.1.3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L'effet rétroactif ne se justifie que si l'entretien dû n'a pas été assumé en nature ou en espèces ou dès qu'il a cessé de l'être (arrêts du Tribunal fédéral 5A_372/2015 du 29 septembre 2015 consid. 3.1; 5A_591/2011 du 7 décembre 2011 consid. 5.2). 4.2.1 L'appelante reproche au Tribunal d'avoir appliqué les critères valables pour l'entretien après le divorce (art. 125 CC) au cas d'espèce, en se fondant notamment sur la durée de la vie commune des époux et sur l'impact que le mariage a eu sur leur situation respective. Ce grief est fondé. En effet, selon la jurisprudence constante du Tribunal fédéral rappelée ci-avant, il n'appartient pas au juge des mesures protectrices de se prononcer sur l'influence du mariage sur la situation financière des parties. Ainsi, bien qu'on ne puisse vraisemblablement plus compter sur une reprise de la vie commune, au vu de la position des époux et des violences alléguées, ceux-ci restent tenus de participer, chacun selon ses facultés, aux frais supplémentaires qu'engendre la vie séparée. Eu égard à la situation financière moyenne des parties, il se justifie de fixer la contribution d'entretien selon la méthode dite du minimum vital élargi avec répartition de l'excédent. Dans la mesure où les revenus des époux le permettent, il y a lieu d'inclure le montant des impôts dans le calcul de leur minimum vital élargi. En revanche, le crédit contracté par l'appelante avant le mariage, en vue d'acquérir ses propres meubles, ne saurait être pris en compte, dès lors qu'il ne constitue pas une dette du couple. Par ailleurs, conformément aux principes sus-rappelés, et en l'absence de contestation de l'intimé sur ce point, il se justifie d'intégrer aux charges de l'appelante celles de son fils mineur dont elle assume la prise en charge. En l'occurrence, les revenus mensuels des parties s'élèvent à 11'780 fr. (5'080 fr. + 6'700 fr.) pour des charges admissibles de 9'250 fr. (4'550 fr. + 4'700 fr.), ce qui représente un disponible de 2'530 fr. qu'il convient de répartir à raison d'une moitié en faveur de chacun des époux. La contribution due à l'appelante à compter</w:t>
      </w:r>
    </w:p>
    <w:p>
      <w:r>
        <w:t>- 9/11 -</w:t>
      </w:r>
    </w:p>
    <w:p>
      <w:r>
        <w:t>C/5440/2018 du 7 mars 2018, date du dépôt de la requête en mesures protectrices de l'union conjugale, sera en conséquence fixée à 730 fr. par mois (4'550 fr. + 1'265 fr. – 5'080 fr.). Il n'est pas nécessaire d'examiner plus avant le grief de l'appelante concernant l'absence de prise en compte par le Tribunal de la proposition – au demeurant refusée – de l'intimé de verser une contribution d'entretien de 300 fr. par mois. 4.2.2 Le chiffre 2 du dispositif du jugement attaqué sera annulé et modifié dans le sens de ce qui précède.</w:t>
      </w:r>
    </w:p>
    <w:p>
      <w:r>
        <w:rPr>
          <w:b/>
        </w:rPr>
        <w:t>E. 5.1</w:t>
      </w:r>
    </w:p>
    <w:p>
      <w:r>
        <w:t>Si l'instance d'appel statue à nouveau, elle se prononce sur les frais de la première instance (art. 318 al. 1 CPC).</w:t>
      </w:r>
    </w:p>
    <w:p>
      <w:r>
        <w:t>En l'espèce, les frais de première instance et leur répartition sont conformes aux normes applicables (art. 106 et 107 al. 1 let. c CPC; art. 31 RTFMC). Ils ne sont par ailleurs pas contestés. Ils seront donc confirmés.</w:t>
      </w:r>
    </w:p>
    <w:p>
      <w:r>
        <w:rPr>
          <w:b/>
        </w:rPr>
        <w:t>E. 5.2</w:t>
      </w:r>
    </w:p>
    <w:p>
      <w:r>
        <w:t>Les frais judiciaires d'appel seront fixés à 800 fr. (art. 31 et 37 RTFMC), mis à la charge de l'intimé, qui succombe, et compensés avec l'avance du même montant versée par l'appelante, qui reste acquise à l'Etat de Genève (art. 106 al. 1 et 111 al. 1 CPC). L'intimé sera condamné à verser à l'appelante la somme de 800 fr. à titre de remboursement d'avance de frais (art. 111 al. 2 CPC). Compte tenu de la nature familiale du litige, chaque partie supportera ses propres dépens d'appel (art. 107 al. 1 let. c CPC).</w:t>
      </w:r>
    </w:p>
    <w:p>
      <w:r>
        <w:rPr>
          <w:b/>
        </w:rPr>
        <w:t>E. 6</w:t>
      </w:r>
    </w:p>
    <w:p>
      <w:r>
        <w:t>Le présent arrêt, qui statue sur mesures provisionnelles, est susceptible d'un recours en matière civile, les moyens étant limités en application de l'art. 98 LTF.</w:t>
      </w:r>
    </w:p>
    <w:p>
      <w:r>
        <w:t>* * * * *</w:t>
      </w:r>
    </w:p>
    <w:p>
      <w:r>
        <w:t>- 10/11 -</w:t>
      </w:r>
    </w:p>
    <w:p>
      <w:r>
        <w:t>C/5440/2018 PAR CES MOTIFS, La Chambre civile : A la forme : Déclare recevable l'appel interjeté le 27 août 2018 par A______ contre le chiffre 2 du dispositif du jugement JTPI/12137/2018 rendu le 14 août 2018 par le Tribunal de première instance dans la cause C/5440/2018–3. Au fond : Annule le chiffre 2 du dispositif du jugement entrepris et, statuant à nouveau sur ce point : Condamne B______ à verser à A______, par mois et d'avance, à titre de contribution à son entretien, la somme de 730 fr. à compter du 7 mars 2018. Confirme le jugement attaqué pour le surplus. Déboute les parties de toutes autres conclusions. Sur les frais : Arrête les frais judiciaires d'appel à 800 fr., les met à la charge de B______ et les compense avec l'avance versée, qui demeure acquise à l'Etat de Genève. Condamne B______ à verser à A______ la somme de 800 fr. à titre de restitution de l'avance de frais. Dit que chaque partie supporte ses propres dépens d'appel. Siégeant : Madame Ursula ZEHETBAUER GHAVAMI, présidente; Madame Sylvie DROIN, Madame Nathalie RAPP, juges; Madame Camille LESTEVEN, greffière.</w:t>
      </w:r>
    </w:p>
    <w:p>
      <w:r>
        <w:t>La présidente : Ursula ZEHETBAUER GHAVAMI</w:t>
      </w:r>
    </w:p>
    <w:p>
      <w:r>
        <w:t>La greffière : Camille LESTEVEN</w:t>
      </w:r>
    </w:p>
    <w:p>
      <w:r>
        <w:t>- 11/11 -</w:t>
      </w:r>
    </w:p>
    <w:p>
      <w:r>
        <w:t>C/5440/2018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