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ACJC/735/2015 vom 25. Juni 2015</w:t>
      </w:r>
    </w:p>
    <w:p>
      <w:r>
        <w:t>GE Cour de justice, 2015-06-25, FR</w:t>
      </w:r>
    </w:p>
    <w:p>
      <w:r>
        <w:rPr>
          <w:b/>
        </w:rPr>
        <w:t xml:space="preserve">Quelle: </w:t>
      </w:r>
      <w:r>
        <w:t>https://mcp.opencaselaw.ch/entscheid/ge_gerichte_ACJC_735_2015</w:t>
      </w:r>
    </w:p>
    <w:p>
      <w:r>
        <w:t>FR: GE_GERICHTE ACJC/735/2015 du 25 juin 2015</w:t>
      </w:r>
    </w:p>
    <w:p>
      <w:r>
        <w:t>IT: GE_GERICHTE ACJC/735/2015 del 25 giugno 2015</w:t>
      </w:r>
    </w:p>
    <w:p>
      <w:pPr>
        <w:pStyle w:val="Heading2"/>
      </w:pPr>
      <w:r>
        <w:t>Erwägungen</w:t>
      </w:r>
    </w:p>
    <w:p>
      <w:r>
        <w:rPr>
          <w:b/>
        </w:rPr>
        <w:t>E. 1</w:t>
      </w:r>
    </w:p>
    <w:p>
      <w:r>
        <w:t>Le dispositif de l'ordonnance mentionne que le Tribunal a statué "sur mesures superprovisionnelles".</w:t>
      </w:r>
    </w:p>
    <w:p>
      <w:r>
        <w:rPr>
          <w:b/>
        </w:rPr>
        <w:t>E. 1.1</w:t>
      </w:r>
    </w:p>
    <w:p>
      <w:r>
        <w:t>Les mesures superprovisionnelles sont prévues par l'art. 265 al. 1 CPC, selon lequel, en cas d'urgence particulière, le tribunal peut ordonner des mesures provisionnelles immédiatement, sans entendre la partie adverse. Le Tribunal cite en même temps les parties à une audience qui doit avoir lieu sans délai ou impartit à la partie adverse un délai pour se prononcer par écrit. Après avoir entendu la partie adverse, le Tribunal statue sur la requête sans délai (art. 265 al. 2 CPC). Une décision statuant sur mesures superprovisionnelles en application de l'art. 265 al. 1 CPC n'est susceptible ni d'un recours cantonal, ni d'un recours auprès du Tribunal fédéral, que la mesure sollicitée soit accordée ou refusée (ATF 137 III 417 consid. 1.3; 139 III 86 consid. 1.1.1 et réf. citées).</w:t>
      </w:r>
    </w:p>
    <w:p>
      <w:r>
        <w:rPr>
          <w:b/>
        </w:rPr>
        <w:t>E. 1.2</w:t>
      </w:r>
    </w:p>
    <w:p>
      <w:r>
        <w:t>Dans le cas d'espèce, le Tribunal a prononcé l'ordonnance litigieuse à l'issue de l'audience du 30 mars 2015, après avoir entendu les deux parties et alors qu'aucune d'elles n'avait sollicité de mesures superprovisionnelles, ni invoqué une urgence particulière. Dans la mesure où l'ordonnance litigieuse a été prononcée après audition des parties, il s'agit non pas d'une ordonnance rendue à titre superprovisionnel, contre laquelle un recours aurait été irrecevable, mais d'une décision de nature provisionnelle.</w:t>
      </w:r>
    </w:p>
    <w:p>
      <w:r>
        <w:rPr>
          <w:b/>
        </w:rPr>
        <w:t>E. 2.1</w:t>
      </w:r>
    </w:p>
    <w:p>
      <w:r>
        <w:t>L'appel est recevable contre les décisions de première instance sur les mesures provisionnelles (art. 308 al. 2 CPC). La procédure sommaire est applicable aux</w:t>
      </w:r>
    </w:p>
    <w:p>
      <w:r>
        <w:t>- 4/6 -</w:t>
      </w:r>
    </w:p>
    <w:p>
      <w:r>
        <w:t>C/26477/2014 mesures provisionnelles (art. 248 let. d CPC). Le délai d'appel est dans ce cas de dix jours (art. 314 al. 1 CPC).</w:t>
      </w:r>
    </w:p>
    <w:p>
      <w:r>
        <w:rPr>
          <w:b/>
        </w:rPr>
        <w:t>E. 2.2</w:t>
      </w:r>
    </w:p>
    <w:p>
      <w:r>
        <w:t>Interjeté par une partie à la procédure, selon les formes prescrites et dans le délai utile de dix jours à compter de la notification de la décision querellée, l'appel est recevable.</w:t>
      </w:r>
    </w:p>
    <w:p>
      <w:r>
        <w:rPr>
          <w:b/>
        </w:rPr>
        <w:t>E. 3.1</w:t>
      </w:r>
    </w:p>
    <w:p>
      <w:r>
        <w:t>Selon l'art. 176 al. 3 CC, applicable aux mesures protectrices de l'union conjugale, lorsqu'il y a des enfants mineurs, le juge ordonne les mesures nécessaires, d'après les dispositions sur les effets de la filiation.</w:t>
      </w:r>
    </w:p>
    <w:p>
      <w:r>
        <w:t>Le juge qui statue sur l'autorité parentale, la garde et la contribution d'entretien selon les dispositions régissant le divorce et la protection de l'union conjugale règle également les relations personnelles (art. 275 al. 2 nouvelle teneur, en vigueur depuis le 1er juillet 2014).</w:t>
      </w:r>
    </w:p>
    <w:p>
      <w:r>
        <w:t>Lorsque les circonstances l'exigent, l'autorité de protection de l'enfant nomme un curateur auquel elle peut conférer certains pouvoirs, tels que celui d'assurer la surveillance des relations personnelles (art. 308 al. 2). Le curateur aura pour mission d'intervenir comme un médiateur entre les parents, d'aplanir leurs divergences et leurs tensions, d'éviter les influences négatives, de les conseiller et de les préparer aux visites. Le curateur n'a pas le pouvoir de décider lui-même de la réglementation du droit de visite ou de sa modification (…); cette compétence appartient au juge matrimonial ou à l'autorité tutélaire compétente sur le fond. En revanche, le curateur pourra, si ce point n'a pas été expressément fixé, organiser les modalités pratiques du droit de visite (fixation d'un calendrier, arrangements liés aux vacances, lieu et moment de l'accueil de l'enfant, rattrapage des jours tombés ou modification mineure des horaires fixés en fonction des circonstances du cas, garde-robe à remettre à l'enfant) (MEIER, in Commentaire romand, PICHONNAZ/FOËX (Ed.), Code civil I, Bâle 2010, ad art. 308 n. 29 et 33; JdT 1995 I p. 98).</w:t>
      </w:r>
    </w:p>
    <w:p>
      <w:r>
        <w:rPr>
          <w:b/>
        </w:rPr>
        <w:t>E. 3.2</w:t>
      </w:r>
    </w:p>
    <w:p>
      <w:r>
        <w:t>Dans l'ordonnance querellée, le Tribunal n'a fixé aucun droit de visite, mais s'est contenté d'ordonner l'instauration d'une curatelle d'organisation et de surveillance des relations personnelles entre l'intimé et ses filles, à charge pour le curateur de planifier le droit de visite et d'en vérifier l'évolution.</w:t>
      </w:r>
    </w:p>
    <w:p>
      <w:r>
        <w:t>Ce faisant, le Tribunal a conféré au curateur des pouvoirs excédant ses compétences. Il lui appartenait en effet de statuer préalablement sur l'attribution de la garde des enfants, de déterminer l'existence et la fréquence du droit de visite réservé au parent non titulaire de la garde, puis, en cas de nécessité, d'ordonner l'instauration d'une curatelle d'organisation et de surveillance des relations personnelles.</w:t>
      </w:r>
    </w:p>
    <w:p>
      <w:r>
        <w:t>- 5/6 -</w:t>
      </w:r>
    </w:p>
    <w:p>
      <w:r>
        <w:t>C/26477/2014</w:t>
      </w:r>
    </w:p>
    <w:p>
      <w:r>
        <w:t>Au vu de ce qui précède, l'ordonnance querellée sera annulée purement et simplement.</w:t>
      </w:r>
    </w:p>
    <w:p>
      <w:r>
        <w:rPr>
          <w:b/>
        </w:rPr>
        <w:t>E. 4</w:t>
      </w:r>
    </w:p>
    <w:p>
      <w:r>
        <w:t>Les frais judiciaires qui ne sont pas imputables aux parties ni aux tiers peuvent être mis à la charge du canton si l'équité l'exige (art. 107 al. 2 CPC). Dans le cas d'espèce, les frais de la procédure d'appel, compte tenu de l'issue de celle-ci, seront laissés à la charge de l'Etat de Genève, étant précisé que l'appelante, au bénéfice de l'assistance judiciaire, n'a procédé à aucune avance de frais. Chaque partie supportera ses propres dépens (art. 107 al. 1 let. c CPC).</w:t>
      </w:r>
    </w:p>
    <w:p>
      <w:r>
        <w:rPr>
          <w:b/>
        </w:rPr>
        <w:t>E. 5</w:t>
      </w:r>
    </w:p>
    <w:p>
      <w:r>
        <w:t>Le présent arrêt, qui statue sur mesures provisionnelles, est susceptible d'un recours en matière civile, les moyens étant limités en application de l'art. 98 LTF. * * * * *</w:t>
      </w:r>
    </w:p>
    <w:p>
      <w:r>
        <w:t>- 6/6 -</w:t>
      </w:r>
    </w:p>
    <w:p>
      <w:r>
        <w:t>C/26477/2014 PAR CES MOTIFS, La Chambre civile : A la forme : Déclare recevable l'appel interjeté par A_____ contre l'ordonnance OTPI/212/2015 du 13 avril 2015 rendue par le Tribunal de première instance dans la cause C/26477/2014-8. Au fond : Annule l'ordonnance querellée. Déboute les parties de toutes autres conclusions. Sur les frais : Laisse les frais de la procédure d'appel à la charge de l'Etat de Genève. Dit que chaque partie supporte ses propres dépens. Siégeant : Monsieur Cédric-Laurent MICHEL, Président; Mesdames Pauline ERARD et Paola CAMPOMAGNANI, juges, Madame Marie NIERMARÉCHAL, greffière.</w:t>
      </w:r>
    </w:p>
    <w:p>
      <w:r>
        <w:t>Le président : Cédric-Laurent MICHEL</w:t>
      </w:r>
    </w:p>
    <w:p>
      <w:r>
        <w:t>La greffière : Marie NIERMARÉCHAL</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