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ACJC/731/2023 vom 2. Dezember 2022</w:t>
      </w:r>
    </w:p>
    <w:p>
      <w:r>
        <w:t>GE Cour de justice, 2022-12-02, FR</w:t>
      </w:r>
    </w:p>
    <w:p>
      <w:r>
        <w:rPr>
          <w:b/>
        </w:rPr>
        <w:t xml:space="preserve">Quelle: </w:t>
      </w:r>
      <w:r>
        <w:t>https://mcp.opencaselaw.ch/entscheid/ge_gerichte_ACJC_731_2023</w:t>
      </w:r>
    </w:p>
    <w:p>
      <w:r>
        <w:t>FR: GE_GERICHTE ACJC/731/2023 du 2 décembre 2022</w:t>
      </w:r>
    </w:p>
    <w:p>
      <w:r>
        <w:t>IT: GE_GERICHTE ACJC/731/2023 del 2 dicembre 2022</w:t>
      </w:r>
    </w:p>
    <w:p>
      <w:pPr>
        <w:pStyle w:val="Heading2"/>
      </w:pPr>
      <w:r>
        <w:t>Volltext</w:t>
      </w:r>
    </w:p>
    <w:p>
      <w:r>
        <w:t>Le présent arrêt est communiqué aux parties par plis recommandés du 9 juin 2023.</w:t>
      </w:r>
    </w:p>
    <w:p>
      <w:r>
        <w:t>REPUBLIQUE ET</w:t>
      </w:r>
    </w:p>
    <w:p>
      <w:r>
        <w:t>CANTON DE GENEVE POUVOIR JUDICIAIRE C/14415/2019 ACJC/731/2023 ARRÊT DE LA COUR DE JUSTICE Chambre civile DU MERCREDI 7 JUIN 2023</w:t>
      </w:r>
    </w:p>
    <w:p>
      <w:r>
        <w:t>Entre L'enfant A______, représentée par sa mère Madame B______, domiciliée ______, Maroc, appelante d'un jugement rendu par la 19ème Chambre du Tribunal de première instance de ce canton le 2 décembre 2022, comparant par Me Alain BERGER, avocat, BRS BERGER RECORDON &amp; DE SAUGY, boulevard des Philosophes 9, case postale, 1211 Genève 4, en l'Étude duquel elle fait élection de domicile, et Monsieur C______, domicilié ______ [GE], intimé, comparant par Me Daniel BRODT, avocat, ETUDE BRODT &amp; BORNAND, Terreaux 5, case postale 2212, 2001 Neuchâtel, en l'Étude duquel il fait élection de domicile.</w:t>
      </w:r>
    </w:p>
    <w:p>
      <w:r>
        <w:t>- 2/4 -</w:t>
      </w:r>
    </w:p>
    <w:p>
      <w:r>
        <w:t>C/14415/2019 Attendu, EN FAIT, que par jugement du 2 décembre 2022, le Tribunal de première instance a notamment constaté que C______ est le père de l'enfant A______, née le ______ 2018, dont la mère est B______, et ordonné la rectification en ce sens des registres de l’Etat civil (ch. 2 du dispositif), condamné C______ à verser en mains de B______ par mois et d'avance, allocations familiales ou d'études non comprises, au titre de contribution à l'entretien de A______, divers montants selon des périodes définies (ch. 3 à 5) ainsi que la somme de 2'367 fr. avec intérêt à 5% dès le 1er janvier 2019 au titre des frais de couches ainsi que des autres dépenses occasionnées par la grossesse et l'accouchement, y compris le premier trousseau de l'enfant (ch. 6), mis les frais judiciaires, arrêtés à 9'120 fr., à la charge de C______ (ch. 7) et condamné celui-ci à verser à B______ et A______ 10'000 fr. à titre de dépens (ch. 8); Que par acte expédié à la Cour de justice le 19 janvier 2023, C______ a formé appel contre ce jugement; qu'il a conclu à l'annulation des ch. 2 à 8 de son dispositif et, cela fait, au fond, à ce qu'il soit dit qu'il n'est pas le père de l'enfant A______; Que l'enfant A______ a conclu à l'irrecevabilité de l'appel, subsidiairement à son rejet; qu'elle a conclu, sur mesures provisionnelles, à ce que l'exécution anticipée du jugement attaqué soit ordonnée; qu'elle invoque notamment à cet égard que C______ a fait preuve de mauvaise foi durant toute la procédure, qu'il a systématiquement contesté les preuves, que par son appel fantaisiste et dilatoire, il tente de retarder ou empêcher sa condamnation inéluctable à contribuer à l'entretien de l'enfant et que sa mère est sans emploi et que sa situation financière est mauvaise; Qu'invité à se déterminer, C______ a conclu au rejet de cette requête;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Commentaire romand CPC, 2ème éd., 2019, n. 4 ad art. 315 CPC); Que selon l'art. 315 al. 3 CPC, l’effet suspensif ne peut pas être retiré dans les cas où l’appel porte sur une décision formatrice; qu'une action formatrice permet d'obtenir la création, la modification ou la dissolution d’un droit ou d’un rapport de droit déterminé</w:t>
      </w:r>
    </w:p>
    <w:p>
      <w:r>
        <w:t>- 3/4 -</w:t>
      </w:r>
    </w:p>
    <w:p>
      <w:r>
        <w:t>C/14415/2019 (art. 87 CPC); que la demande en paternité (art. 261 CC) est une action formatrice (BOHNET in Commentaire romand, CPC, 2ème éd., 2019, n. 7 ad art. 87 CPC); Qu'en l'espèce, le paiement de la contribution d'entretien suppose que, préalablement, la paternité de l'intimé soit admise; que celle-ci doit être constatée dans le cadre d'une action en paternité, soit une action formatrice; que l'exécution anticipée d'une décision rendue dans un tel cadre n'est toutefois pas possible à teneur du code de procédure civile; que l'effet suspensif ne pouvant être retiré en tant qu'il porte sur le ch. 2 du dispositif du jugement attaqué, il ne peut par conséquent pas être retiré en tant qu'il porte sur les ch. 3 à 6 en particulier condamnant l'intimé à verser différents montants eu égard à sa qualité de père, selon une décision toutefois dont les effets sont suspendus à cet égard; Que dès lors, il ne peut être donné une suite favorable à la requête d’exécution anticipée; Qu'il sera statué sur les frais et dépens liés à la présente décision avec la décision au fond (art. 104 al. 3 CPC). * * * * *</w:t>
      </w:r>
    </w:p>
    <w:p>
      <w:r>
        <w:t>- 4/4 -</w:t>
      </w:r>
    </w:p>
    <w:p>
      <w:r>
        <w:t>C/14415/2019 PAR CES MOTIFS, La Chambre civile : Statuant sur requête d'exécution anticipée du jugement entrepris : Rejette la requête formée par A______ tendant à ce que soit ordonnée l'exécution anticipée du jugement JTPI/14392/2022 rendu le 2 décembre 2022 par le Tribunal de première instance dans la cause C/14415/2019.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