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ACJC/731/2021 vom 8. Juni 2021</w:t>
      </w:r>
    </w:p>
    <w:p>
      <w:r>
        <w:t>GE Cour de justice, 2021-06-08, FR</w:t>
      </w:r>
    </w:p>
    <w:p>
      <w:r>
        <w:rPr>
          <w:b/>
        </w:rPr>
        <w:t xml:space="preserve">Quelle: </w:t>
      </w:r>
      <w:r>
        <w:t>https://mcp.opencaselaw.ch/entscheid/ge_gerichte_ACJC_731_2021</w:t>
      </w:r>
    </w:p>
    <w:p>
      <w:r>
        <w:t>FR: GE_GERICHTE ACJC/731/2021 du 8 juin 2021</w:t>
      </w:r>
    </w:p>
    <w:p>
      <w:r>
        <w:t>IT: GE_GERICHTE ACJC/731/2021 del 8 giugno 2021</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Interjeté dans le délai de trente jours (art. 311 al. 1, 142 al. 3 CPC et art. 1 let. e LJF) et suivant la forme prescrite par la loi (art. 130, 131, 311 al. 1 CPC), l'appel est recevable.</w:t>
      </w:r>
    </w:p>
    <w:p>
      <w:r>
        <w:rPr>
          <w:b/>
        </w:rPr>
        <w:t>E. 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w:t>
      </w:r>
    </w:p>
    <w:p>
      <w:r>
        <w:t>Elle applique la maxime des débats et le principe de disposition (art. 55 al. 1 et 58 al. 1 CPC).</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l'occurrence, la pièce nouvelle n° 01 produite par l'intimé est recevable, car celle-ci est postérieure au jugement entrepris et concerne la recevabilité de sa réponse à l'appel. La production de la norme comptable IAS 8 est également recevable, celle-ci ayant été alléguée par les parties en première instance et le premier juge s'y étant référé dans le jugement entrepris.</w:t>
      </w:r>
    </w:p>
    <w:p>
      <w:r>
        <w:rPr>
          <w:b/>
        </w:rPr>
        <w:t>E. 4</w:t>
      </w:r>
    </w:p>
    <w:p>
      <w:r>
        <w:t>L'appelante reproche au Tribunal d'avoir refusé d'ordonner une expertise judiciaire de ses propres comptes et de ceux de C______ SA pour les années 2010 à 2014. Selon elle, ces expertises permettraient d'établir la nécessité de rectifier lesdits comptes suite à leur "manipulation", ainsi que l'ampleur des corrections apportées sur ceux-ci. Elle sollicite ainsi que la Cour ordonne l'établissement de telles expertises.</w:t>
      </w:r>
    </w:p>
    <w:p>
      <w:r>
        <w:rPr>
          <w:b/>
        </w:rPr>
        <w:t>E. 4.1</w:t>
      </w:r>
    </w:p>
    <w:p>
      <w:r>
        <w:t>Conformément à l'art. 316 al. 3 CPC, l'instance d'appel peut librement décider d'administrer des preuves : elle peut ainsi ordonner que des preuves administrées</w:t>
      </w:r>
    </w:p>
    <w:p>
      <w:r>
        <w:t>- 11/16 -</w:t>
      </w:r>
    </w:p>
    <w:p>
      <w:r>
        <w:t>C/25199/2017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w:t>
      </w:r>
    </w:p>
    <w:p>
      <w:r>
        <w:rPr>
          <w:b/>
        </w:rPr>
        <w:t>E. 4.2</w:t>
      </w:r>
    </w:p>
    <w:p>
      <w:r>
        <w:t>En l'occurrence, l'appelante soutient avoir démontré la nécessité de rectifier les comptes du groupe C______ SA, ainsi que l'ampleur des corrections effectuées sur les exercices 2010 à 2014, au moyen des rapports établis par H______ et I______, des déclarations du témoin L______ et des expertises établies dans le cadre de la procédure C/3______/2016.</w:t>
      </w:r>
    </w:p>
    <w:p>
      <w:r>
        <w:t>Dans ces circonstances, l'appelante n'apporte pas d'élément permettant de retenir que les expertises requises seraient nécessaires à l'établissement de ses allégués et à la résolution du litige.</w:t>
      </w:r>
    </w:p>
    <w:p>
      <w:r>
        <w:t>S'agissant des expertises établies dans le cadre de la procédure C/3______/2016, l'appelante, dans la motivation de son appel, sollicite que la Cour admette celles- ci. Cela étant, elle ne soulève aucun grief à l'encontre du jugement entrepris qui a retenu que la production de ces expertises était tardive au sens de l'art. 229 CPC.</w:t>
      </w:r>
    </w:p>
    <w:p>
      <w:r>
        <w:t>En tous les cas, la Cour considère que les expertises requises ne seraient pas à même de modifier le jugement entrepris, celles-ci n'étant pas déterminantes pour l'issue du litige (cf. consid. 5.2 infra).</w:t>
      </w:r>
    </w:p>
    <w:p>
      <w:r>
        <w:t>De même, la Cour s'estime suffisamment renseignée pour statuer sur les points faisant l'objet de l'appel, de sorte que la cause est en état d'être jugée.</w:t>
      </w:r>
    </w:p>
    <w:p>
      <w:r>
        <w:t>La demande d'actes d'instruction de l'appelante sera dès lors rejetée.</w:t>
      </w:r>
    </w:p>
    <w:p>
      <w:r>
        <w:rPr>
          <w:b/>
        </w:rPr>
        <w:t>E. 5</w:t>
      </w:r>
    </w:p>
    <w:p>
      <w:r>
        <w:t>L'appelante fait grief au premier juge d'avoir mal interprété l'art. 6 du contrat de prêt du 8 janvier 2010. Selon elle, les parties avaient "objectivement" convenu que "le bénéfice net consolidé" du groupe C______ SA se référait aux résultats financiers réellement réalisés et non à ceux arrêtés dans les comptes, puis publiés, s'ils devaient être inexacts, comme en l'espèce. En effet, une comptabilité erronée ne pouvait pas servir de base au calcul dudit bénéfice.</w:t>
      </w:r>
    </w:p>
    <w:p>
      <w:r>
        <w:t>- 12/16 -</w:t>
      </w:r>
    </w:p>
    <w:p>
      <w:r>
        <w:t>C/25199/2017</w:t>
      </w:r>
    </w:p>
    <w:p>
      <w:r>
        <w:t>5.1.1 L'action en libération de dette est une action négatoire de droit matériel, qui tend à la constatation de l'inexistence ou de l'inexigibilité de la créance invoquée par le poursuivant (ATF 131 III 268, consid. 3.1). Le débiteur peut, de manière générale, se prévaloir de toutes les objections et exceptions (exécution, remise de dette, exception de l'inexécution, prescription, etc.) qui sont dirigées contre la dette reconnue (ATF 131 III 268, consid. 3.2).</w:t>
      </w:r>
    </w:p>
    <w:p>
      <w:r>
        <w:t>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130 III 286, consid. 5.3.1; arrêt du Tribunal fédéral 4A_460/2010 du 2 novembre 2010 consid. 3.1).</w:t>
      </w:r>
    </w:p>
    <w:p>
      <w:r>
        <w:t>5.1.2 A teneur de l'art. 154 CO, le contrat dont la résolution est subordonnée à l'arrivée d'un événement incertain cesse de produire ses effets dès le moment où la condition s'accomplit (al. 1). Il n'y a point, dans la règle, d'effet rétroactif (al. 2).</w:t>
      </w:r>
    </w:p>
    <w:p>
      <w:r>
        <w:t>En cas de litige sur la qualification d'un contrat, le juge doit dans un premier temps s'efforcer de déterminer la commune et réelle intention des parties (art. 18 al. 1 CO; interprétation subjective), le cas échéant empiriquement, sur la base d'indices (ATF 144 III 93 consid. 5.2.2; 132 III 268 consid. 2.3.2).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118 II 365 consid. 1). L'appréciation de ces indices concrets par le juge, selon son expérience générale de la vie, relève du fait. Si sa recherche aboutit à un résultat positif, le juge parvient à la conclusion que les parties se sont comprises (ATF 144 III 93 consid. 5.2.2).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w:t>
      </w:r>
    </w:p>
    <w:p>
      <w:r>
        <w:t>- 13/16 -</w:t>
      </w:r>
    </w:p>
    <w:p>
      <w:r>
        <w:t>C/25199/2017 comportement, même si celui-ci ne correspond pas à sa volonté intime (ATF 144 III 93 consid. 5.2.3; 130 III 417 consid. 3.2).</w:t>
      </w:r>
    </w:p>
    <w:p>
      <w:r>
        <w:t>5.1.3 La norme IAS 8, intitulée Accounting Policies, Changes in Accounting Estimates and Errors, prescrit que les erreurs découvertes après l'établissement des comptes doivent être corrigées dans les premiers états financiers suivant cette découverte ("However, material errors are sometimes not discovered until a subsequent period, and these prior period errors are corrected in the comparative information presented in the financial statements fot that subsequent period"; "The correction of a prior period error is excluded form profit or loss for the period in which the error is discovered" norme IAS 8, n° 41 et 46).</w:t>
      </w:r>
    </w:p>
    <w:p>
      <w:r>
        <w:rPr>
          <w:b/>
        </w:rPr>
        <w:t>E. 5.2</w:t>
      </w:r>
    </w:p>
    <w:p>
      <w:r>
        <w:t>En l'espèce, le Tribunal a, à juste titre, retenu que les parties s'étaient entendues, lors de la rédaction de l'art. 6 du contrat de prêt du 8 janvier 2010, que les termes employés "consolidated net profit on an annual basis", soit le bénéfice annuel net consolidé du groupe C______ SA, se référaient aux résultats financiers publiés de ce groupe et non à ceux effectivement réalisés, soit après corrections, comme soutenu par l'appelante.</w:t>
      </w:r>
    </w:p>
    <w:p>
      <w:r>
        <w:t>En effet, les comptes du groupe C______ SA étant audités par des réviseurs, validés par le conseil d'administration, le conseil de surveillance, ainsi que l'assemblée générale, puis publiés, ce qui ressort du témoignage de F______ et n'est pas contesté, on ne discerne pas sur la base de quels autres documents les parties pouvaient vérifier si la condition résolutoire de l'art. 6 du contrat de prêt du</w:t>
      </w:r>
    </w:p>
    <w:p>
      <w:r>
        <w:rPr>
          <w:b/>
        </w:rPr>
        <w:t>E. 8</w:t>
      </w:r>
    </w:p>
    <w:p>
      <w:r>
        <w:t>étant applicable au cas d'espèce, ce qui n'est pas contesté, les parties savaient, ou auraient dû savoir, que les comptes audités, validés, puis publiés ne pouvaient plus faire l'objet de modifications et que les éventuelles corrections ne pouvaient être intégrées que dans les états financiers ultérieurs, soit ceux faisant suite à la découverte des éventuelles erreurs.</w:t>
      </w:r>
    </w:p>
    <w:p>
      <w:r>
        <w:t>Ainsi, les comptes publiés du groupe C______ SA pour les années 2011 et 2012 faisant état d'un bénéfice net consolidé annuel de plus de 3'000'000 fr., la condition résolutoire de l'art. 6 du contrat de prêt litigieux ne s'est pas réalisée et ce, indépendamment du fait que l'appelante fasse valoir a posteriori que lesdits comptes contenaient des irrégularités et que le seuil de 3'000'000 fr. n'aurait en réalité pas été atteint. Les corrections relatives aux années 2010 à 2013 ont d'ailleurs été prise en compte dans l'exercice comptable 2014 du groupe C______ SA, qui a enregistré une perte de plus de 18'000'000 fr.</w:t>
      </w:r>
    </w:p>
    <w:p>
      <w:r>
        <w:t>Contrairement à ce que soutient l'appelante, cette solution ne crée pas une "insécurité juridique", à l'inverse de sa propre thèse selon laquelle seuls les résultats "effectifs" du groupe C______ SA importeraient, même s'ils devaient être établis des années plus tard, en particulier après le délai de cinq ans mentionné l'art. 6 du contrat de prêt litigieux.</w:t>
      </w:r>
    </w:p>
    <w:p>
      <w:r>
        <w:t>Il n'est ainsi pas nécessaire de déterminer si oui ou non les comptes 2011 et 2012, en particulier, du groupe C______ SA devaient être rectifiés en raison de prétendues manipulations, les modifications en résultant ne pouvant avoir d'effet que sur les comptes des années ultérieures et non de manière rétroactive. A cet égard, il sied de relever que le rapport de H______ mentionnait que les comptes 2010 à 2014 dudit groupe avaient été établis conformément aux principes</w:t>
      </w:r>
    </w:p>
    <w:p>
      <w:r>
        <w:t>- 15/16 -</w:t>
      </w:r>
    </w:p>
    <w:p>
      <w:r>
        <w:t>C/25199/2017 comptables polonais applicables, bien que des irrégularités aient été constatées s'agissant du traitement afférent aux dépenses de recherche et développement. Les expertises judiciaires requises par l'appelante de ses propres comptes et de ceux du groupe C______ SA pour les années 2010 à 2014 ne sont donc pas pertinentes pour l'issue du litige.</w:t>
      </w:r>
    </w:p>
    <w:p>
      <w:r>
        <w:t>En alléguant que l'intimé n'aurait pas soutenu que les comptes publiés du groupe C______ SA étaient "inscrits dans le marbre" si ceux-ci avaient été manipulés de manière à sous-évaluer les résultats financiers de celui-ci et non l'inverse, comme en l'espèce, l'appelante ne soulève aucun grief à l'encontre du jugement entrepris.</w:t>
      </w:r>
    </w:p>
    <w:p>
      <w:r>
        <w:t>En outre, l'appelante ne peut pas se prévaloir de la thèse soutenue par l'ex-épouse de l'intimé dans la cadre de la procédure C/3______/2016, s'agissant de l'interprétation du contrat de prêt litigieux, le Tribunal ayant jugé que cette dernière n'était pas partie à ce contrat.</w:t>
      </w:r>
    </w:p>
    <w:p>
      <w:r>
        <w:t>La créance de 2'000'000 fr. n'ayant pas encore été remboursée à l'intimé et à son ex-épouse, les intérêts y relatifs courent toujours, de sorte que la somme réclamée dans le cadre de la poursuite n° 1______ est exigible, de même que les intérêts dus pour la période de 2016 à 2018.</w:t>
      </w:r>
    </w:p>
    <w:p>
      <w:r>
        <w:t>Partant, le jugement entrepris sera confirmé. 6. Les frais judiciaires d'appel seront arrêtés à 7'000 fr., mis à la charge de l'appelante, qui succombe (art. 95, 96 et 106 al. 1 CPC; art. 5, 17 et 35 RTFMC), et compensés avec l'avance de même montant fournie par celle-ci, qui reste acquise à l'Etat de Genève (art. 98 et 111 al. 1 CPC).</w:t>
      </w:r>
    </w:p>
    <w:p>
      <w:r>
        <w:t>L'appelante sera également condamnée à verser à l'intimé la somme de 5'000 fr. à titre de dépens d'appel, débours compris mais sans TVA, compte tenu du domicile à l'étranger de ce dernier (art. 95 al. 3 CPC; art. 85 et 90 RTMFC; art. 25 et 26 LaCC; arrêt du Tribunal fédéral 4A_623/2015 du 3 mars 2016). * * * * *</w:t>
      </w:r>
    </w:p>
    <w:p>
      <w:r>
        <w:t>- 16/16 -</w:t>
      </w:r>
    </w:p>
    <w:p>
      <w:r>
        <w:t>C/25199/2017 PAR CES MOTIFS, La Chambre civile : A la forme : Déclare recevable l'appel interjeté le 2 juin 2020 par A______ SA contre le jugement JTPI/4776/2020 rendu le 30 avril 2020 par le Tribunal de première instance dans la cause C/25199/2017. Au fond : Confirme le jugement entrepris. Déboute les parties de toutes autres conclusions. Sur les frais : Arrête les frais judiciaires d'appel à 7'000 fr., les met à la charge de A______ SA et les compense entièrement avec l'avance de frais versée par celle-ci, qui reste acquise à l'Etat de Genève. Condamne A______ SA à verser 5'000 fr. à B______ à titre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