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ACJC/731/2020 vom 29. Mai 2020</w:t>
      </w:r>
    </w:p>
    <w:p>
      <w:r>
        <w:t>GE Cour de justice, 2020-05-29, FR</w:t>
      </w:r>
    </w:p>
    <w:p>
      <w:r>
        <w:rPr>
          <w:b/>
        </w:rPr>
        <w:t xml:space="preserve">Quelle: </w:t>
      </w:r>
      <w:r>
        <w:t>https://mcp.opencaselaw.ch/entscheid/ge_gerichte_ACJC_731_2020</w:t>
      </w:r>
    </w:p>
    <w:p>
      <w:r>
        <w:t>FR: GE_GERICHTE ACJC/731/2020 du 29 mai 2020</w:t>
      </w:r>
    </w:p>
    <w:p>
      <w:r>
        <w:t>IT: GE_GERICHTE ACJC/731/2020 del 29 maggio 2020</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L'art. 91 al. 2 CPC dispose que si les conclusions ne tendent pas au paiement d'une somme d'argent déterminée, le Tribunal fixe la valeur litigieuse selon son</w:t>
      </w:r>
    </w:p>
    <w:p>
      <w:r>
        <w:t>- 4/7 -</w:t>
      </w:r>
    </w:p>
    <w:p>
      <w:r>
        <w:t>C/14395/2015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w:t>
      </w:r>
    </w:p>
    <w:p>
      <w:r>
        <w:rPr>
          <w:b/>
        </w:rPr>
        <w:t>E. 1.1.2</w:t>
      </w:r>
    </w:p>
    <w:p>
      <w:r>
        <w:t>En l'espèce, le loyer annuel du logement, charges non comprises, s'élève à 7'956 fr.</w:t>
      </w:r>
    </w:p>
    <w:p>
      <w:r>
        <w:t>En prenant en compte la date du jugement et la durée de la prolongation contestée à titre principal, soit six mois pour l'appartement, la valeur litigieuse reste en-deçà de 10'000 fr. (663 fr. x 6 = 3'978 fr.).</w:t>
      </w:r>
    </w:p>
    <w:p>
      <w:r>
        <w:t>L'appelant concluant également à l'évacuation de l'intimé, la valeur litigieuse correspond également à la somme des loyers entre le moment du dépôt du recours par l'appelant et le moment où l'évacuation du locataire pourra vraisemblablement être exécutée par la force publique (ACJC/1503/2013; ATF 144 III 346), soit également six mois.</w:t>
      </w:r>
    </w:p>
    <w:p>
      <w:r>
        <w:t>La valeur litigieuse étant inférieure à 10'000 fr., l'acte d'appel sera converti en recours.</w:t>
      </w:r>
    </w:p>
    <w:p>
      <w:r>
        <w:rPr>
          <w:b/>
        </w:rPr>
        <w:t>E. 1.2</w:t>
      </w:r>
    </w:p>
    <w:p>
      <w:r>
        <w:t>Dans la mesure où le jugement attaqué a été reçu au domicilie élu de l'appelant le 29 mai 2019, le recours a été interjeté dans le délai et suivant la forme prescrits par la loi (art. 130, 131, 311 al. 1 CPC). Il est ainsi recevable.</w:t>
      </w:r>
    </w:p>
    <w:p>
      <w:r>
        <w:rPr>
          <w:b/>
        </w:rPr>
        <w:t>E. 2</w:t>
      </w:r>
    </w:p>
    <w:p>
      <w:r>
        <w:t>L'appelant se réfère à l'état de fait retenu dans le jugement attaqué, tout en mentionnant certains éléments qui, selon lui, auraient été omis. Il ne formule toutefois aucun grief explicite en relation avec une constatation manifestement inexacte des faits (art. 320 let. b CPC).</w:t>
      </w:r>
    </w:p>
    <w:p>
      <w:r>
        <w:rPr>
          <w:b/>
        </w:rPr>
        <w:t>E. 2.1</w:t>
      </w:r>
    </w:p>
    <w:p>
      <w:r>
        <w:t>Quoi qu'il en soit, les différents points de faits relevés par l'appelant résultent du jugement attaqué. En effet, il y est retenu que l'immeuble dans lequel se trouve l'objet loué a été construit en 1955 et qu'il ne répond plus aux critères actuels d'habitat, en termes notamment de surfaces, d'installations techniques ou d'isolation. Le jugement relève également que le projet de l'appelant consiste à démolir le bâtiment abritant les locaux litigieux pour reconstruire un nouvel immeuble, avec davantage de logements, afin de revaloriser son parc immobilier. Dans leur décision, les premiers juges ont enfin retenu l'entrée en force de l'autorisation préalable de construire ainsi que de l'autorisation de démolir, la procédure administrative n'ayant, selon l'appelant, fait l'objet d'aucune opposition ni d'aucun préavis négatif.</w:t>
      </w:r>
    </w:p>
    <w:p>
      <w:r>
        <w:t>- 5/7 -</w:t>
      </w:r>
    </w:p>
    <w:p>
      <w:r>
        <w:t>C/14395/2015</w:t>
      </w:r>
    </w:p>
    <w:p>
      <w:r>
        <w:t>Il découle de ce qui précède que tous les éléments de fait mentionnés par l'appelant ont été retenus dans le jugement attaqué, dans la mesure où ils sont pertinents pour statuer dans la présente cause.</w:t>
      </w:r>
    </w:p>
    <w:p>
      <w:r>
        <w:rPr>
          <w:b/>
        </w:rPr>
        <w:t>E. 3</w:t>
      </w:r>
    </w:p>
    <w:p>
      <w:r>
        <w:t>L'appelant se plaint d'une mauvaise application de l'art. 272 CO. Il soutient que l'intimé n'aurait aucun intérêt à une prolongation de bail puisque la résiliation a été notifiée en 2015 et qu'une majorité des autres locataires du même immeuble aurait déjà trouvé une solution de relogement. Son propre intérêt de bailleur aurait dû prévaloir puisque l'autorisation de démolir serait en force depuis plus d'un an et que l'autorisation de construire définitive devrait être obtenue «avant la fin de l'année».</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d'habitation, la durée maximale de la prolongation est de quatre ans; dans cette limite, le juge peut accorder une ou deux prolongations (art. 272b al. 1 CO).</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Si le locataire, à ses risques et périls, a procédé à des investissements, la perte de la possibilité de les amortir n'est pas constitutive de conséquences pénibles (arrêts du Tribunal fédéral 4A_129/2015 du 10 juillet 2015 consid. 2.1 et 4A_22/2015 du 11 mai 2015 consid. 5.2).</w:t>
      </w:r>
    </w:p>
    <w:p>
      <w:r>
        <w:t>Le besoin urgent du bailleur n'est qu'une circonstance dont le juge doit tenir compte dans la balance des intérêts. En particulier, l'urgence de ce besoin doit être prise en considération pour statuer tant sur le principe que sur la durée de la</w:t>
      </w:r>
    </w:p>
    <w:p>
      <w:r>
        <w:t>- 6/7 -</w:t>
      </w:r>
    </w:p>
    <w:p>
      <w:r>
        <w:t>C/14395/2015 prolongation. Le besoin du bailleur ne prime celui du locataire que lorsque celui- là est autorisé, par décision administrative, à commencer les travaux, mais pas avant. Le juge ne saurait toutefois accorder une prolongation du bail jusqu'à une échéance indéterminée, qui serait liée à l'entrée en force exécutoire de l'autorisation de construire (art. 272b al. 1 CO - arrêt du Tribunal fédéral 4A_67/2016 du 7 juin 2016 consid. 7.1).</w:t>
      </w:r>
    </w:p>
    <w:p>
      <w:r>
        <w:rPr>
          <w:b/>
        </w:rPr>
        <w:t>E. 3.2</w:t>
      </w:r>
    </w:p>
    <w:p>
      <w:r>
        <w:t>En l'espèce, le Tribunal a tenu compte de toutes les circonstances pertinentes permettant de fixer une première prolongation de bail à l'intimé. Ainsi, il n'a omis aucun des éléments mentionnés par l'appelant dans son mémoire d'appel. Il a également tenu compte de la situation de l'intimé, ainsi que de la durée du bail conclu en 1966.</w:t>
      </w:r>
    </w:p>
    <w:p>
      <w:r>
        <w:t>Dans ces conditions, l'octroi d'une première prolongation de bail au 30 novembre 2019 respecte les exigences de l'art. 272 CO. L'appelant dispose certes d'un intérêt à pouvoir mener à bien son projet de démolition et reconstruction, mais sans que cela ne justifie de refuser toute prolongation de bail. En effet, au stade de la procédure de recours, l'autorisation définitive de construire n'avait pas encore été délivrée. Or, le besoin du bailleur à commencer les travaux ne prévaut sur l'intérêt du locataire à se maintenir dans son logement que lorsque le projet a d'ores et déjà fait l'objet d'une autorisation portant sur l'opération envisagée dans sa globalité.</w:t>
      </w:r>
    </w:p>
    <w:p>
      <w:r>
        <w:t>En définitive, dans la mesure où une première prolongation de bail est accordée, il n'est pas exclu qu'une seconde prolongation ait été demandée en temps utile par l'intimé.</w:t>
      </w:r>
    </w:p>
    <w:p>
      <w:r>
        <w:rPr>
          <w:b/>
        </w:rPr>
        <w:t>E. 4</w:t>
      </w:r>
    </w:p>
    <w:p>
      <w:r>
        <w:t>Dans ces conditions, il est en toute hypothèse prématuré d'ordonner l'évacuation de l'intéressé, dès lors qu'à la date où la présente cause a été gardée à juger, l'intimé bénéficiait toujours d'un droit à utiliser les locaux litigieux.</w:t>
      </w:r>
    </w:p>
    <w:p>
      <w:r>
        <w:rPr>
          <w:b/>
        </w:rPr>
        <w:t>E. 5</w:t>
      </w:r>
    </w:p>
    <w:p>
      <w:r>
        <w:t>A teneur de l'art. 22 al. 1 LaCC, il n'est pas prélevé de frais dans les causes soumises à la juridiction des baux et loyers (ATF 139 III consid. 2.6). * * * * *</w:t>
      </w:r>
    </w:p>
    <w:p>
      <w:r>
        <w:t>- 7/7 -</w:t>
      </w:r>
    </w:p>
    <w:p>
      <w:r>
        <w:t>C/14395/2015 PAR CES MOTIFS, La Chambre des baux et loyers : A la forme : Déclare recevable le recours interjeté le 28 juin 2019 par l'HOSPICE GENERAL, INSTITUTION GENEVOISE D'ACTION SOCIALE contre le jugement JTBL/507/2019 rendu le 23 mai 2019 par le Tribunal des baux et loyers dans la cause C/14395/2015-5-OSB. Au fond : Le rejette.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