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ACJC/731/2008 vom 16. Juni 2008</w:t>
      </w:r>
    </w:p>
    <w:p>
      <w:r>
        <w:t>GE Cour de justice, 2008-06-16, FR</w:t>
      </w:r>
    </w:p>
    <w:p>
      <w:r>
        <w:rPr>
          <w:b/>
        </w:rPr>
        <w:t xml:space="preserve">Quelle: </w:t>
      </w:r>
      <w:r>
        <w:t>https://mcp.opencaselaw.ch/entscheid/ge_gerichte_ACJC_731_2008</w:t>
      </w:r>
    </w:p>
    <w:p>
      <w:r>
        <w:t>FR: GE_GERICHTE ACJC/731/2008 du 16 juin 2008</w:t>
      </w:r>
    </w:p>
    <w:p>
      <w:r>
        <w:t>IT: GE_GERICHTE ACJC/731/2008 del 16 giugno 2008</w:t>
      </w:r>
    </w:p>
    <w:p>
      <w:pPr>
        <w:pStyle w:val="Heading2"/>
      </w:pPr>
      <w:r>
        <w:t>Regeste</w:t>
      </w:r>
    </w:p>
    <w:p>
      <w:r>
        <w:t>Résumé: CAP - PERSONNALITÉ JURIDIQUE - CAPACITÉ DE CONCLURE UN BAIL Les attributions et l'autonomie conférées à la CAP - CAISSE D'ASSURANCE DU PERSONNEL DE LA VILLE DE GENÈVE ET DES SERVICES INDUSTRIELS - par le droit public sont suffisantes pour lui permettre notamment d'être partie à des contrats de bail concernant les immeubles propriétés de la Ville, des SIG et de l'Etat de Genève, quand bien même elle n'a pas la personnalité juridique.</w:t>
      </w:r>
    </w:p>
    <w:p>
      <w:pPr>
        <w:pStyle w:val="Heading2"/>
      </w:pPr>
      <w:r>
        <w:t>Volltext</w:t>
      </w:r>
    </w:p>
    <w:p>
      <w:r>
        <w:t>Résumé: CAP - PERSONNALITÉ JURIDIQUE - CAPACITÉ DE CONCLURE UN BAIL Les attributions et l'autonomie conférées à la CAP - CAISSE D'ASSURANCE DU PERSONNEL DE LA VILLE DE GENÈVE ET DES SERVICES INDUSTRIELS - par le droit public sont suffisantes pour lui permettre notamment d'être partie à des contrats de bail concernant les immeubles propriétés de la Ville, des SIG et de l'Etat de Genève, quand bien même elle n'a pas la personnalité juridique.</w:t>
      </w:r>
    </w:p>
    <w:p>
      <w:r>
        <w:t>Descripteurs: Descripteurs: BAIL A LOYER; PROCEDURE; PARTIE AU CONTRAT; PARTIE A LA PROCEDURE; QUALITE POUR AGIR</w:t>
      </w:r>
    </w:p>
    <w:p>
      <w:r>
        <w:t>Normes: Normes: CC.52.ss; LPC.1; LPC.3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