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ACJC/729/2023 vom 9. Juni 2023</w:t>
      </w:r>
    </w:p>
    <w:p>
      <w:r>
        <w:t>GE Cour de justice, 2023-06-09, FR</w:t>
      </w:r>
    </w:p>
    <w:p>
      <w:r>
        <w:rPr>
          <w:b/>
        </w:rPr>
        <w:t xml:space="preserve">Quelle: </w:t>
      </w:r>
      <w:r>
        <w:t>https://mcp.opencaselaw.ch/entscheid/ge_gerichte_ACJC_729_2023</w:t>
      </w:r>
    </w:p>
    <w:p>
      <w:r>
        <w:t>FR: GE_GERICHTE ACJC/729/2023 du 9 juin 2023</w:t>
      </w:r>
    </w:p>
    <w:p>
      <w:r>
        <w:t>IT: GE_GERICHTE ACJC/729/2023 del 9 giugno 2023</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t>- 5/10 -</w:t>
      </w:r>
    </w:p>
    <w:p>
      <w:r>
        <w:t>C/3908/2021</w:t>
      </w:r>
    </w:p>
    <w:p>
      <w:r>
        <w:rPr>
          <w:b/>
        </w:rPr>
        <w:t>E. 1.2</w:t>
      </w:r>
    </w:p>
    <w:p>
      <w:r>
        <w:t>La cognition de la Cour est limitée à la violation du droit et à la constatation manifestement inexacte des faits (art. 320 CPC et 278 al. 3 LP).</w:t>
      </w:r>
    </w:p>
    <w:p>
      <w:r>
        <w:rPr>
          <w:b/>
        </w:rPr>
        <w:t>E. 2.1</w:t>
      </w:r>
    </w:p>
    <w:p>
      <w:r>
        <w:t>Le pouvoir d'examen conféré à l'instance de recours par l'art. 320 let. b CPC correspond à celui du Tribunal fédéral appelé à statuer sur un recours en matière civile sur la base de l'art. 97 al. 1 LTF. S'agissant de cette dernière disposition, la pratique semble avoir renoncé à distinguer l'appréciation des preuves (peut-on croire ce témoin? Peut-on suivre l'expert sur ce point?) et les constatations de fait (tel fait à prouver est tenu pour établi ou au contraire écarté). La notion de "faits établis de façon manifestement inexacte" se recoupe avec celle d'arbitraire dans l'appréciation des preuves ou d'arbitraire dans l'établissement des faits . Il ne suffit pas d'affirmer que le premier juge a retenu "arbitrairement" un fait; il faut au contraire décrire l'élément de fait taxé d'arbitraire, puis se référer aux pièces du dossier qui contredisent l'état de fait arrêté par le premier juge;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(ATF 138 III 232 consid. 4.1.2, JdT 2012 II 511; TC/FR du 18 juillet 2012 (101 2012-106)).</w:t>
      </w:r>
    </w:p>
    <w:p>
      <w:r>
        <w:t>L’appréciation des preuves n’est pas déjà arbitraire du fait qu’elle ne coïncide pas avec la présentation des faits de la partie recourante, mais seulement lorsqu’elle est manifestement insoutenable. Tel est en particulier le cas lorsque le juge du fond ignore des moyens de preuves pertinents, se trompe manifestement sur leur sens ou leur portée ou les néglige sans motifs, ou lorsqu’il tire des constatations insoutenables des preuves administrées.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w:t>
      </w:r>
    </w:p>
    <w:p>
      <w:r>
        <w:rPr>
          <w:b/>
        </w:rPr>
        <w:t>E. 2.2</w:t>
      </w:r>
    </w:p>
    <w:p>
      <w:r>
        <w:t>Le recourant reproche au Tribunal d'avoir constaté les faits de manière manifestement inexacte aux chiffres suivants de la partie en fait du jugement querellé :</w:t>
      </w:r>
    </w:p>
    <w:p>
      <w:r>
        <w:t>- ch. 4, selon lequel les parties s'étaient mises d'accord en 2015 pour fixer la valeur de la villa à 5'800'000 fr. sur la base d'une estimation effectuée par la société G______.</w:t>
      </w:r>
    </w:p>
    <w:p>
      <w:r>
        <w:t>- 6/10 -</w:t>
      </w:r>
    </w:p>
    <w:p>
      <w:r>
        <w:t>C/3908/2021</w:t>
      </w:r>
    </w:p>
    <w:p>
      <w:r>
        <w:t>- ch. 5, à teneur duquel, par courriel du 19 mai 2015, le recourant avait informé sa sœur de ce qu'il avait entrepris des démarches pour le transfert de la part de cette dernière au prix de 2'900'000 fr.</w:t>
      </w:r>
    </w:p>
    <w:p>
      <w:r>
        <w:t>- ch. 8, indiquant que le recourant avait refusé d'acquérir la part de sa sœur au prix convenu.</w:t>
      </w:r>
    </w:p>
    <w:p>
      <w:r>
        <w:t>- ch. 21, selon lequel, entre 2013 et 2018, les parties avaient fait faire plusieurs expertises de la maison litigieuses faisant état de montant variant entre 4'000'000 fr. et 5'800'000 fr.</w:t>
      </w:r>
    </w:p>
    <w:p>
      <w:r>
        <w:t>Tous ces éléments sont cependant dénués de pertinence pour trancher la question litigieuse in casu de sorte qu'il n'y a pas lieu d'entrer en matière sur les griefs formulés par le recourant à cet égard. Les faits en question n'ont d'ailleurs pas été retranscrits dans la partie en fait du présent arrêt.</w:t>
      </w:r>
    </w:p>
    <w:p>
      <w:r>
        <w:t>Le recourant reproche au Tribunal de n'avoir pas mentionné dans son état de fait le courrier qu'il a adressé à l'exécuteur testamentaire le 1er septembre 2017, ni celui envoyé par les deux parties aux exécuteurs testamentaires le 1er décembre 2017. Ces deux lettres ne sont cependant pas non plus pertinentes pour l'issue du litige. Elles se limitent à exprimer la volonté des parties de solliciter des expertises de manière à pouvoir déterminer le prix de vente de la villa ainsi que leur souhait de parvenir à un règlement global de la succession. Ils n'établissent cependant pas que les parties se sont mises d'accord sur la valeur de la maison litigieuse ni que la vente a échoué en raison du refus de l'intimée comme le prétend le recourant. Ces éléments ne sont en tout état de cause pas déterminants pour trancher les questions litigieuses en l'espèce.</w:t>
      </w:r>
    </w:p>
    <w:p>
      <w:r>
        <w:t>Enfin, le Tribunal a indiqué à juste titre au ch. 22 de son état de fait que les parties n'avaient pas réussi à s'entendre sur un prix, de sorte que la vente de la part de l'intimée au recourant n'avait finalement jamais eu lieu.</w:t>
      </w:r>
    </w:p>
    <w:p>
      <w:r>
        <w:t>Il ressort en effet du dossier que les parties ne se sont à ce jour pas accordées sur le prix de vente et que celle-ci n'a pas été finalisée. La question de savoir quelle est la raison de cet état de fait est quant à elle dénuée de pertinence en l'espèce. Il résulte de ce qui précède que les griefs du recourant relatifs à la constatation manifestement inexacte des faits sont infondés.</w:t>
      </w:r>
    </w:p>
    <w:p>
      <w:r>
        <w:rPr>
          <w:b/>
        </w:rPr>
        <w:t>E. 3</w:t>
      </w:r>
    </w:p>
    <w:p>
      <w:r>
        <w:t>Le Tribunal a considéré que, comme cela avait déjà été tranché de manière définitive par les arrêts de la Cour des 28 janvier 2019 et 15 juillet 2022, le recourant n'avait pas rendu vraisemblable qu'il était autorisé à occuper gratuitement la villa. L'intimée avait dès lors vraisemblablement une créance à ce titre également pour la période du 1er juillet 2020 au 28 février 2021. Le loyer qui aurait pu être obtenu de la mise en location de la villa était de 8'750 fr. du</w:t>
      </w:r>
    </w:p>
    <w:p>
      <w:r>
        <w:t>- 7/10 -</w:t>
      </w:r>
    </w:p>
    <w:p>
      <w:r>
        <w:t>C/3908/2021 1er juillet au 31 décembre 2020, puis de 7'000 fr. du 1er janvier au 28 février 2021. Il n'y avait pas lieu de déduire de montant pour les frais d'entretien de 0.8% du prix de vente car ces frais n'étaient pas rendus vraisemblables, une partie d'entre eux (assurances et impôts fonciers) étant au demeurant vraisemblablement à charge de l'intimée. Celle-ci avait ainsi vraisemblablement une créance de 33'250 fr. envers le recourant ((8'750 fr. / 2) x 6 mois plus (7'000 fr. / 2) x 2 mois).</w:t>
      </w:r>
    </w:p>
    <w:p>
      <w:r>
        <w:t>Au fil d'une argumentation peu claire, le recourant fait valoir que le prix de la maison était déterminable et qu'il était prêt à racheter la part de l'intimée, laquelle s'est "soustraite à ses obligations pour finalement créer une situation dans laquelle le rachat n'était plus possible". La "valeur moyenne de l'immeuble" était de 4'950'166 fr. L'intimée ne pouvait "solliciter une créance en dommages et intérêts en invoquant la violation des engagements pris en date des 1er septembre et 1er décembre 2017". Il résultait par ailleurs des deux rapports d'expertises produits dans le cadre de la procédure vaudoise que des frais de 0,8% des coûts de constructions CFC 2 et 4, en 1'381 fr. 39 par mois, devaient être déduits du revenu locatif à prendre en compte.</w:t>
      </w:r>
    </w:p>
    <w:p>
      <w:r>
        <w:rPr>
          <w:b/>
        </w:rPr>
        <w:t>E. 3.1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- 8/10 -</w:t>
      </w:r>
    </w:p>
    <w:p>
      <w:r>
        <w:t>C/3908/2021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L'opposant doit tenter de démontrer que son point de vue est plus vraisemblable que celui du créancier séquestrant (arrêts du Tribunal fédéral 5A_328/2013 du</w:t>
      </w:r>
    </w:p>
    <w:p>
      <w:r>
        <w:rPr>
          <w:b/>
        </w:rPr>
        <w:t>E. 3.2</w:t>
      </w:r>
    </w:p>
    <w:p>
      <w:r>
        <w:t>En l'espèce, il résulte des arrêts de la Cour des 28 janvier 2019 et 15 juillet 2022 qu'une indemnité pour l'occupation de la villa est vraisemblablement due par le recourant depuis le 3 novembre 2018. Il n'est en effet pas vraisemblable que B______ a autorisé depuis cette date son frère à occuper gratuitement la totalité de la villa lui appartenant par moitié. Le montant de ladite indemnité correspond à la moitié du loyer qui aurait pu être retiré de la location de la villa litigieuse. Aucun des arguments présentés par le recourant dans le cadre de la présente procédure ne justifie de modifier cette appréciation. Le fait que la valeur de la maison soit "déterminable" n'est pas pertinent. La créance de l'intimée n'est pas fondée sur la violation de prétendus engagements pris en septembre et décembre 2017 mais sur le fait que le recourant profite depuis plusieurs années de l'intégralité de la villa appartenant aux parties sans indemniser sa sœur pour la perte qu'elle subit du fait de la privation de jouissance de son bien. C'est donc à bon droit que le Tribunal a jugé que la créance de l'intimée était justifiée sur le principe. Le montant de la créance mensuelle de l'intimée correspond vraisemblablement, comme l'a retenu le Tribunal, à la moitié de valeur locative de la villa, fixée par expertise à 8'500 fr. jusqu'au 31 décembre 2020, puis à 7'000 fr.</w:t>
      </w:r>
    </w:p>
    <w:p>
      <w:r>
        <w:t>- 9/10 -</w:t>
      </w:r>
    </w:p>
    <w:p>
      <w:r>
        <w:t>C/3908/2021 Il n'y a pas lieu de déduire de ce montant une somme forfaitaire de 0.8% des "CFC 2 bâtiment et CFC 4 aménagement extérieurs" au titre de frais d'entretien, comme le voudrait le recourant. En premier lieu l'on ignore le montant de ces frais, puisqu'aucune pièce probante n'indique précisément quel est le total des CFC précités. De plus, l'invocation abstraite d'un montant moyen de coûts supportés par les propriétaires en général n'est pas assez précise pour fonder la vraisemblance d'une créance du recourant envers l'intimée à ce titre dans le cas d'espèce. Une telle créance ne pourrait être prise en compte que si le recourant rendait vraisemblable par pièces qu'il a effectivement payé certains frais incombant à l'intimée, ce qu'il n'a pas fait. Il résulte de ce qui précède que le jugement querellé sera entièrement confirmé.</w:t>
      </w:r>
    </w:p>
    <w:p>
      <w:r>
        <w:rPr>
          <w:b/>
        </w:rPr>
        <w:t>E. 4</w:t>
      </w:r>
    </w:p>
    <w:p>
      <w:r>
        <w:t>Les frais de recours seront mis à la charge du recourant qui succombe (art. 106 CPC).</w:t>
      </w:r>
    </w:p>
    <w:p>
      <w:r>
        <w:t>Les frais judiciaires seront arrêtés à 600 fr. (art. 48 et 61 OELP) et compensés avec l'avance fournie, acquise à l'Etat de Genève (art. 111 CPC).</w:t>
      </w:r>
    </w:p>
    <w:p>
      <w:r>
        <w:t>Les dépens dus à l'intimée seront arrêtés à 2'000 fr., débours inclus (art. 84, 85, 88, 89 et 90 RTFMC). * * * * *</w:t>
      </w:r>
    </w:p>
    <w:p>
      <w:r>
        <w:t>- 10/10 -</w:t>
      </w:r>
    </w:p>
    <w:p>
      <w:r>
        <w:t>C/3908/2021 PAR CES MOTIFS, La Chambre civile : A la forme : Déclare recevable le recours interjeté par A______ contre le jugement OSQ/13/2023 rendu le 3 avril 2023 par le Tribunal de première instance dans la cause C/3908/2021-20 SQP. Au fond : Rejette ce recours. Déboute les parties de toutes autres conclusion. Sur les frais : Met à la charge de A______ les frais judiciaires de recours arrêtés à 600 fr. et compensés avec l'avance fournie, acquise à l'Etat de Genève. Condamne A______ à verser à B______ 2'000 fr. à titre de dépens de recours. Siégeant : Madame Pauline ERARD, présidente; Monsieur Laurent RIEBEN,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