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ACJC/729/2015 vom 25. Juni 2015</w:t>
      </w:r>
    </w:p>
    <w:p>
      <w:r>
        <w:t>GE Cour de justice, 2015-06-25, FR</w:t>
      </w:r>
    </w:p>
    <w:p>
      <w:r>
        <w:rPr>
          <w:b/>
        </w:rPr>
        <w:t xml:space="preserve">Quelle: </w:t>
      </w:r>
      <w:r>
        <w:t>https://mcp.opencaselaw.ch/entscheid/ge_gerichte_ACJC_729_2015</w:t>
      </w:r>
    </w:p>
    <w:p>
      <w:r>
        <w:t>FR: GE_GERICHTE ACJC/729/2015 du 25 juin 2015</w:t>
      </w:r>
    </w:p>
    <w:p>
      <w:r>
        <w:t>IT: GE_GERICHTE ACJC/729/2015 del 25 giugno 2015</w:t>
      </w:r>
    </w:p>
    <w:p>
      <w:pPr>
        <w:pStyle w:val="Heading2"/>
      </w:pPr>
      <w:r>
        <w:t>Erwägungen</w:t>
      </w:r>
    </w:p>
    <w:p>
      <w:r>
        <w:rPr>
          <w:b/>
        </w:rPr>
        <w:t>E. 1</w:t>
      </w:r>
    </w:p>
    <w:p>
      <w:r>
        <w:t>La voie du recours est ouverte pour critiquer la répartition des frais et dépens (art. 110 CPC). Interjeté dans la forme et le délai prescrits (art. 321 al. 1 CPC), le recours est recevable. Le pouvoir d'examen de la Cour est limité à la violation du droit et à la constatation manifestement inexacte des faits (art. 320 CPC).</w:t>
      </w:r>
    </w:p>
    <w:p>
      <w:r>
        <w:rPr>
          <w:b/>
        </w:rPr>
        <w:t>E. 2</w:t>
      </w:r>
    </w:p>
    <w:p>
      <w:r>
        <w:t>2.1.1 Les frais sont mis à la charge de la partie succombante. La partie succombante est le demandeur lorsque le tribunal n'entre pas en matière et en cas de désistement d'action (art. 106 al. 1 CPC). Les frais comprennent les frais judiciaires et les dépens (art. 95 al. 1 CPC). L'art. 95 al. 3 let. b CPC prévoit que les dépens comprennent le défraiement du représentant professionnel. Les cantons fixent le tarif des frais (art. 96 CPC). 2.1.2 Dans les contestations portant sur des affaires pécuniaires, le défraiement d'un représentant professionnel est, en règle générale, proportionnel à la valeur litigieuse. Il est fixé, dans les limites figurant dans un règlement du Conseil d'Etat,</w:t>
      </w:r>
    </w:p>
    <w:p>
      <w:r>
        <w:t>- 4/8 -</w:t>
      </w:r>
    </w:p>
    <w:p>
      <w:r>
        <w:t>C/22638/2013 d'après l'importance de la cause, ses difficultés, l'ampleur du travail et le temps employé (art. 20 al. 1 LaCC et 84 al. 1 RTFMC). Lorsque la valeur litigieuse ne peut être chiffrée, le défraiement est fixé librement d'après l'importance de la cause, ses difficultés, l'ampleur du travail et le temps employé (art. 20 al. 2 LaCC et 85 al. 2 et 84 in fine RTFMC). Le juge fixe les dépens d'après le dossier en chiffres ronds incluant la taxe sur la valeur ajoutée. La décision est motivée (art. 26 al. 1 LaCC). Un état de frais peut être déposé (al. 2). Les débours nécessaires sont estimés, sauf éléments contraires, à 3% du défraiement et s'ajoutent à celui-ci (art. 25 LaCC). Lorsque le procès ne se termine pas par une décision au fond mais en particulier par un retrait du recours, un désistement, une transaction ou une décision d'irrecevabilité, le défraiement peut être réduit en conséquence (art. 23 al. 2 LaCC). Le juge peut s'écarter de plus ou moins 10% du montant calculé selon l'art. 85 RTFMC pour tenir compte de l'importance de la cause, ses difficultés, l'ampleur du travail et le temps employé (art. 85 al. 1 RTFMC). 2.1.3 Lorsque l'action ne porte pas sur le paiement d'une somme d'argent déterminée, le tribunal détermine la valeur litigieuse si les parties n'arrivent pas à s'entendre sur ce point ou si la valeur qu'elles avancent est manifestement erronée. (art. 91 al. 2 CPC). Le fait qu’il ne soit pas possible de calculer exactement la valeur litigieuse, ou que son évaluation soit difficile ne suffit pas à pouvoir qualifier la cause de non pécuniaire. Ce qui est décisif est que l’action poursuive finalement et de manière prépondérante un but économique (ATF 139 II 404 consid. 12.1; 118 II 528 consid. 2c = JdT 1993 I 654). Si tel est le cas, la cause est de nature pécuniaire (ATF 139 II 404 consid. 12.1; 135 III 578 consid. 66.3 = JdT 2009 I 635; arrêt du Tribunal fédéral 4A_235/2014 du 2 juillet 2014 consid. 2.3). En matière d'action en cessation de trouble, la valeur litigieuse se détermine selon l'intérêt du demandeur à l'admission de ses conclusions (ATF 126 III 223, consid. 1a non publié; 116 II 431 consid. 1 = JdT 1991 I 45; 95 II 14 consid. 1 = JdT 1969 I 576; 92 II 62 consid. 3 = JdT 1966 I 377), voire, s'il est plus élevé, selon l'intérêt du défendeur au rejet des conclusions de la demande (ATF 92 II 62 consid. 3-5 = JdT 1966 I 377; 82 II 120 consid. 1 = JdT 1957 I 22; 81 II 189 consid. 1 = JdT 1956 I 11; 45 II 402 consid. 1; arrêts du Tribunal fédéral 5A_791/2008 du 10 juin 2009 consid. 1; 5C.249/1994 du 5 janvier 1996 consid. 1b).</w:t>
      </w:r>
    </w:p>
    <w:p>
      <w:r>
        <w:t>- 5/8 -</w:t>
      </w:r>
    </w:p>
    <w:p>
      <w:r>
        <w:t>C/22638/2013 En cas d'expulsion d'un locataire ou d'un occupant d'un immeuble, notamment dans les affaires de famille, la valeur litigieuse ne correspond pas à une valeur d’usage capitalisée, mais au dommage présumable résultant du retard, respectivement au loyer ou à la valeur d’usage hypothétiques pendant le temps nécessaire à obtenir l'expulsion (arrêts du Tribunal fédéral 4A_273/2012 du 30 octobre 2012 consid. 1.2.2; 5A_645/2011 du 17 novembre 2011 consid. 1.1; 5A_295/2010 du 30 juillet 2010 consid. 1.3; 4A_107/2007 du 22 juin 2007 consid. 2.3; 4A_72/2007 du 22 août 2007 consid. 2.2). 2.1.4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2.2.1 En l'espèce, l'intimé, qui niait initialement l'existence d'un rapport de bail, a retiré la procédure introduite devant le Tribunal. Conformément à l'art. 106 al. 1 CPC, les frais, y compris les dépens, doivent donc être mis à sa charge. Il se justifie d'autant moins de s'écarter de la solution légale en l'espèce, le retrait étant intervenu après, et vraisemblablement en raison, de la production par la recourante d'un titre contredisant l'argumentation soutenue dans la demande. 2.2.2 La demande de l'intimé devant le Tribunal visait à obtenir l'évacuation de la recourante de l'appartement litigieux. Par essence, le litige est donc patrimonial. Or, selon les déclarations concordantes des parties, la recourante payait le loyer de l'appartement. L'intimé n'a allégué ni que les charges relatives à l'appartement n'étaient pas payées, ni qu'il aurait pu louer l'appartement à un loyer plus important que celui payé par la recourante, ni encore que l'obligation de devoir loger ailleurs lui causerait un préjudice patrimonial. Pour sa part, la recourante n'a pas fait valoir les surcoûts résultant d'une éventuelle expulsion. Les éléments du dossier ne permettent donc pas de déterminer et de quantifier un intérêt économique des parties à l'issue de la procédure. En présence d'une valeur litigieuse difficile, voire impossible à calculer, il y a ainsi lieu, en application de l'art. 20 al. 2 LaCC et de l'art. 85 al. 2 RTFMC, de fixer le défraiement d'après l'importance de la cause, ses difficultés, l'ampleur du travail et le temps employé. Conformément aux principes rappelés ci-dessus, il sera tenu compte du fait que le procès ne s'est pas terminé par une décision au fond mais par un désistement et que la recourante s'est limitée à faire état de l'existence d'un contrat de bail entre les parties.</w:t>
      </w:r>
    </w:p>
    <w:p>
      <w:r>
        <w:t>- 6/8 -</w:t>
      </w:r>
    </w:p>
    <w:p>
      <w:r>
        <w:t>C/22638/2013 Il n'en demeure pas moins que la recourante a eu recours à un avocat pour rédiger son mémoire-réponse de six pages et pour produire les trois pièces qui l'accompagnent. Compte tenu de la responsabilité encourue et de l'activité utile déployée, estimée à</w:t>
      </w:r>
    </w:p>
    <w:p>
      <w:r>
        <w:rPr>
          <w:b/>
        </w:rPr>
        <w:t>E. 2.3</w:t>
      </w:r>
    </w:p>
    <w:p>
      <w:r>
        <w:t>Le chiffre 3 du dispositif du jugement entrepris sera donc annulé et l'intimé condamné à verser à la recourante la somme de 1'500 fr. à titre de dépens de première instance.</w:t>
      </w:r>
    </w:p>
    <w:p>
      <w:r>
        <w:rPr>
          <w:b/>
        </w:rPr>
        <w:t>E. 3</w:t>
      </w:r>
    </w:p>
    <w:p>
      <w:r>
        <w:t>du dispositif du jugement JTPI/11962/2014 rendu le 23 septembre 2014 par le Tribunal de première instance dans la cause C/22638/2013-18. Au fond : Annule le chiffre 3 du dispositif dudit jugement. Cela fait et statuant à nouveau : Condamne B______ à verser à A______ la somme de 1'500 fr. à titre de dépens de première instance. Confirme le jugement pour le surplus. Déboute les parties de toutes autres conclusions. Sur les frais : Arrête les frais judiciaires de recours à 800 fr. Les met à la charge de B______. Condamne B______ à verser 800 fr. aux Services financiers du Pouvoir judiciaire à titre de frais judiciaires de recours. Condamne B______ à verser à A______, la somme de 800 fr. à titre de dépens de recours. Siégeant : Madame Valérie LAEMMEL-JUILLARD, présidente; Madame Nathalie LANDRY-BARTHE, Monsieur Patrick CHENAUX, juges; Madame Audrey MARASCO, greffière.</w:t>
      </w:r>
    </w:p>
    <w:p>
      <w:r>
        <w:t>La présidente : Valérie LAEMMEL-JUILLARD</w:t>
      </w:r>
    </w:p>
    <w:p>
      <w:r>
        <w:t>La greffière : Audrey MARASCO</w:t>
      </w:r>
    </w:p>
    <w:p>
      <w:r>
        <w:t>- 8/8 -</w:t>
      </w:r>
    </w:p>
    <w:p>
      <w:r>
        <w:t>C/22638/2013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