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ACJC/728/2023 vom 31. Mai 2023</w:t>
      </w:r>
    </w:p>
    <w:p>
      <w:r>
        <w:t>GE Cour de justice, 2023-05-31, FR</w:t>
      </w:r>
    </w:p>
    <w:p>
      <w:r>
        <w:rPr>
          <w:b/>
        </w:rPr>
        <w:t xml:space="preserve">Quelle: </w:t>
      </w:r>
      <w:r>
        <w:t>https://mcp.opencaselaw.ch/entscheid/ge_gerichte_ACJC_728_2023</w:t>
      </w:r>
    </w:p>
    <w:p>
      <w:r>
        <w:t>FR: GE_GERICHTE ACJC/728/2023 du 31 mai 2023</w:t>
      </w:r>
    </w:p>
    <w:p>
      <w:r>
        <w:t>IT: GE_GERICHTE ACJC/728/2023 del 31 maggio 2023</w:t>
      </w:r>
    </w:p>
    <w:p>
      <w:pPr>
        <w:pStyle w:val="Heading2"/>
      </w:pPr>
      <w:r>
        <w:t>Erwägungen</w:t>
      </w:r>
    </w:p>
    <w:p>
      <w:r>
        <w:rPr>
          <w:b/>
        </w:rPr>
        <w:t>E. 1.1</w:t>
      </w:r>
    </w:p>
    <w:p>
      <w:r>
        <w:t>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 enfant mineur, est de nature patrimoniale. Compte tenu de la quotité de la pension contestée en</w:t>
      </w:r>
    </w:p>
    <w:p>
      <w:r>
        <w:t>- 7/14 -</w:t>
      </w:r>
    </w:p>
    <w:p>
      <w:r>
        <w:t>C/504/2021 première instance, la valeur litigieuse, capitalisée selon l'art. 92 al. 2 CPC, est supérieure à 10'000 fr. La voie de l'appel est dès lors ouverte.</w:t>
      </w:r>
    </w:p>
    <w:p>
      <w:r>
        <w:rPr>
          <w:b/>
        </w:rPr>
        <w:t>E. 1.2</w:t>
      </w:r>
    </w:p>
    <w:p>
      <w:r>
        <w:t>L'appel, écrit et motivé, a été interjeté dans le délai utile (art. 130, 131 et 311 al. 1 CPC), de sorte qu'il est recevable.</w:t>
      </w:r>
    </w:p>
    <w:p>
      <w:r>
        <w:rPr>
          <w:b/>
        </w:rPr>
        <w:t>E. 1.3</w:t>
      </w:r>
    </w:p>
    <w:p>
      <w:r>
        <w:t>La réponse à un appel doit être déposée dans un délai de trente jours (art. 312 al. 2 CPC), qui court dès la notification de l'appel à l'intimé (ATF 141 III 554 consid. 2.4; 138 III 568 consid 3.1). Un acte est réputé notifié, en cas d'envoi recommandé, lorsque celui-ci n'a pas été retiré, à l'expiration d'un délai de sept jours à compter de l'échec de la remise, si le destinataire devait s'attendre à recevoir la notification (art. 138 al. 3 let a CPC). A défaut de réponse déposée dans le délai imparti, la procédure d'appel suit son cours en l'état du dossier (art. 147 al. 2 CPC), sans que l'instance d'appel n'ait à impartir un bref délai supplémentaire à l'intimé pour produire son écriture dès lors que - contrairement à ce qui prévaut en première instance pour le défendeur (art. 223 al. 1 CPC) - la loi ne le prévoit pas (JEANDIN, Commentaire romand, Code de procédure civile, 2019, n° 3 ad art. 312 CPC).</w:t>
      </w:r>
    </w:p>
    <w:p>
      <w:r>
        <w:rPr>
          <w:b/>
        </w:rPr>
        <w:t>E. 1.4</w:t>
      </w:r>
    </w:p>
    <w:p>
      <w:r>
        <w:t>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et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w:t>
      </w:r>
    </w:p>
    <w:p>
      <w:r>
        <w:rPr>
          <w:b/>
        </w:rPr>
        <w:t>E. 2</w:t>
      </w:r>
    </w:p>
    <w:p>
      <w:r>
        <w:t>L'appelant se plaint d'une constatation inexacte des faits en lien avec la date de naissance du troisième enfant de l'intimé. L'état de fait ci-dessus a été modifié et complété dans la mesure utile.</w:t>
      </w:r>
    </w:p>
    <w:p>
      <w:r>
        <w:t>- 8/14 -</w:t>
      </w:r>
    </w:p>
    <w:p>
      <w:r>
        <w:t>C/504/2021</w:t>
      </w:r>
    </w:p>
    <w:p>
      <w:r>
        <w:rPr>
          <w:b/>
        </w:rPr>
        <w:t>E. 3</w:t>
      </w:r>
    </w:p>
    <w:p>
      <w:r>
        <w:t>L'appelant fait grief au Tribunal d'avoir mal apprécié la situation financière de son père et de ne pas avoir considéré que celle-ci s'était modifiée et justifiait que sa contribution d'entretien soit revue. 3.1.1 Conformément à l'art. 286 al. 2 CC, la contribution d'entretien due à un enfant peut être modifiée ou supprimée, notamment à la demande du père, si la situation change notablement. Cette modification ou suppression suppose que les circonstances ayant prévalu lors de la fixation de la contribution aient subi un changement notable et durable, qui commandent une réglementation différente (ATF 137 III 604 consid. 4.1.1 et les références).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5A_523/2021 du 29 mars 2022 consid. 3.1). Le moment déterminant pour apprécier si des circonstances nouvelles se sont produites est la date du dépôt de la demande de modification (ATF 137 III 604 consid. 4.1.1 et la référence; arrêt du Tribunal fédéral 5A_230/2019 du 31 janvier 2020 consid. 6.1). Ces principes valent aussi s'agissant de la modification de contributions fixées par convention homologuée, à moins qu'une telle adaptation n'ait été exclue (cf. art. 287 al. 2 CC; arrêt du Tribunal fédéral 5A_672/2017 du 20 avril 2018 consid. 3.1). 3.1.2 L'enfant peut agir contre son père et sa mère, ou contre les deux, afin de leur réclamer l'entretien pour l'avenir et pour l'année qui précède l'ouverture de l'action (art. 279 al. 1 CC). Selon l'art. 276 CC, l'entretien de l'enfant est assuré par les soins, l'éducation et des prestations pécuniaires (al. 1). Ces trois éléments sont considérés comme équivalents (ATF 147 III 265 consid. 5.5; arrêt du Tribunal fédéral 5A_450/2020 du 4 janvier 2021 consid. 5.3). Les parents contribuent ensemble, chacun selon ses facultés, à l'entretien convenable de l'enfant et assument en particulier les frais de sa prise en charge, de</w:t>
      </w:r>
    </w:p>
    <w:p>
      <w:r>
        <w:t>- 9/14 -</w:t>
      </w:r>
    </w:p>
    <w:p>
      <w:r>
        <w:t>C/504/2021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Ainsi, les besoins de l'enfant doivent être répartis entre les père et mère en fonction de leurs capacités contributives respectives (arrêts du Tribunal fédéral 5A_583/2018 du 18 janvier 2019 consid. 5.1 et 5A_119/2017 du 30 août 2017 consid. 7.1). 3.1.3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les coûts de santé, tels que les cotisations d'assurance-maladie obligatoire, les frais de transports publics et les frais professionnels, tels que les frais de repas à l'extérieur (art. 93 LP; ATF 147 III 265 consid. 7.2; arrêt du Tribunal fédéral 5A_329/2016 du</w:t>
      </w:r>
    </w:p>
    <w:p>
      <w:r>
        <w:rPr>
          <w:b/>
        </w:rPr>
        <w:t>E. 3.2</w:t>
      </w:r>
    </w:p>
    <w:p>
      <w:r>
        <w:t>En l'espèce, l'appelant reproche au Tribunal d'avoir estimé qu'aucun changement n'était survenu dans la situation financière de son père. Selon lui, ce dernier bénéficierait d'un salaire plus élevé et ses charges seraient moins importantes du fait de son nouveau statut familial. Or, contrairement à ce que prétend l'appelant, les revenus de l'appelant n'ont pas sensiblement augmenté depuis 2018, lorsqu'il réalisait, selon ses seules allégations (aucune pièce n'ayant été fournie par celui-ci dans le cadre de la procédure C/1______/2017), un revenu mensuel de 3'033 fr. 33. En effet, si à teneur des certificats de salaire fournis par l'employeur de l'intimé, ce dernier a perçu un salaire mensuel de 3'043 fr. en 2020 et de 3'225 fr. 75 en 2021 (en tenant compte, comme l'a fait l'appelant, du prélèvement de l'impôt à la source), ses revenus apparaissent beaucoup moins importants en 2022, même en tenant compte des 200 fr. reçus mensuellement à titre de pourboires, ses fiches de salaire faisant apparaître un revenu mensuel moyen de 2'245 fr. environ (2'072 fr. 25 x 13 / 12). Par ailleurs, sa situation professionnelle ne semble pas avoir évolué, son activité étant la même que celle exercée en 2018, chez le même employeur. En revanche, il est vrai que des faits nouveaux et durables sont intervenus dans la situation familiale de l'intimé, qui est désormais père de deux autres enfants, et qui vit avec ceux-ci et leur mère. L'appelant soutient que l'intimé ne tire que des avantages de cette nouvelle organisation familiale, puisqu'il partagerait ses charges avec sa compagne. Or, si la répartition du montant de base OP par moitié est absolue, il en va différemment des frais communs, tel que le loyer, qui peuvent être répartis autrement en fonction notamment de la capacité de gain du concubin, ce qu'a fait le premier juge. L'appelant ne conteste pas que la compagne de son père ne travaille pas mais reproche au Tribunal de ne pas avoir tenu compte des indemnités chômage que celle-ci pourrait percevoir ou du revenu hypothétique qu'elle pourrait réaliser. La compagne de l'intimé est toutefois mère de deux jeunes enfants, qui ne sont pas encore en âge d'aller à l'école, de sorte qu'une reprise d'emploi ne peut, conformément à la jurisprudence, être exigée d'elle (ATF 144 III 481 consid. 4.7.6). Et si le premier juge n'a pas tenu compte de ses éventuelles indemnités chômage, dont on ne connaît rien, il n'a toutefois pas fait supporter l'entier des charges courantes de celle-ci à l'intimé, mais uniquement le loyer, ce qui n'est pas critiquable. Le montant de 1'310 fr. sera donc maintenu dans le budget de l'intimé.</w:t>
      </w:r>
    </w:p>
    <w:p>
      <w:r>
        <w:t>- 12/14 -</w:t>
      </w:r>
    </w:p>
    <w:p>
      <w:r>
        <w:t>C/504/2021 Les autres charges retenues par le Tribunal (850 fr. de montant de base OP + 300 fr. d'assurance-maladie, subside déduit + 70 fr. de frais de transport) ne sont pas contestées par l'appelant. Même en faisant abstraction du montant de ses revenus en 2022, à l'instar du Tribunal et de l'appelant, et en ne tenant compte que des revenus réalisés en 2020 et 2021, pourboires inclus, soit en moyenne 3'334 fr. par mois, l'intimé ne bénéficie que d'un disponible mensuel de 804 fr., soit de 434 fr. une fois la contribution destinée à l'entretien de l'appelant versée. Ce montant (217 fr. par mois pour chacun de ses nouveaux enfants) n'apparaît pas excessif au vu des charges alléguées par l'intimé lors de l'audience du 29 mars 2022 pour l'entretien de E______ et F______ et de la situation financière de la mère de ceux-ci. Sur ce point, il sera encore rappelé que le principe de l'égalité de traitement entre les enfants d'un même débiteur n'exclut pas que l'on tienne compte de leurs besoins objectifs, lesquels peuvent être différents d'un enfant à l'autre, comme c'est le cas en l'espèce. La situation ne justifie pas, pour le surplus, de distinguer les périodes durant lesquelles l'appelant était père de deux ou de trois enfants, ce d'autant que la période entre les naissances des deux derniers est assez courte (moins de deux ans) et que la situation financière actuelle de l'intimé ne lui permet pas de verser une contribution plus importante à son premier né. Un renvoi en première instance pour instruction complémentaire sur la situation financière de l'intimé s'avérerait, par ailleurs, inutile, au vu de l'attitude adoptée par le père, qui n'a produit aucune pièce et ne s'est présenté qu'à une seule audience, malgré les injonctions du Tribunal. Le dossier contient au demeurant suffisamment d'éléments pour établir à satisfaction la situation d'emploi et les revenus du père. Ainsi, bien que des faits nouveaux soient intervenus dans la situation personnelle de l'intimé, la situation financière actuelle de ce dernier ne justifie pas de modifier la contribution d'entretien en faveur de l'appelant déjà fixée. Les faits nouveaux avérés n'emportent en effet ipso facto aucune modification. L'appelant ne fait en outre pas valoir que la situation financière de sa mère se serait péjorée. Quant aux charges d'entretien dont il se prévaut en appel, la majorité de celles-ci consiste en des frais de loisirs (cours de judo, de natation, d'anglais et de musique, représentant, selon celui-ci, un montant mensuel global de plus de 250 fr.), dont certaines n'existaient pas au début de la litispendance (cours de judo et de musique). Ainsi, même à retenir toutes les autres charges alléguées par l'enfant (quand bien même leur caractère effectif, actuel ou régulier ne serait pas établi au vu des pièces fournies), son entretien s'élève à 1'366 fr., soit un montant inférieur à celui fixé par jugement du 28 juin 2018 (1'507 fr. 05).</w:t>
      </w:r>
    </w:p>
    <w:p>
      <w:r>
        <w:t>- 13/14 -</w:t>
      </w:r>
    </w:p>
    <w:p>
      <w:r>
        <w:t>C/504/2021 L'appelant se prévaut également du fait qu'il n'a pas vu son père depuis de nombreux mois et que c'est sa mère qui assume seule sa prise en charge en nature. Il ne soutient toutefois pas qu'il s'agirait d'une situation nouvelle, qui n'aurait pas été prise en compte au moment de la fixation de la contribution d'entretien. Quoi qu'il en soit, même si le parent qui n'a pas la garde de l'enfant doit en principe supporter la totalité de l'entretien pécuniaire de celui-ci, il n'en demeure pas moins que les besoins de l'enfant doivent être répartis entre les père et mère en fonction de leur capacité contributive respective. Aucun fait nouveau n'est dès lors intervenu dans la situation de l'enfant. Par conséquent, c'est à raison que le Tribunal, au vu des circonstances d'espèce, a jugé que les conditions n'étaient pas réalisées pour modifier la contribution d'entretien. Le jugement entrepris sera par conséquent confirmé. 4. Les frais judiciaires d'appel seront arrêtés à 800 fr. (art. 95 al. 2 et 105 al. 1 CPC; art. 32 et 35 RTFMC). Ils seront mis à la charge de l'appelant qui succombe (art. 106 al. 1 CPC). Dès lors que celui-ci, représenté par sa mère, plaide au bénéfice de l'assistance judiciaire (art. 122 al. 1 let. b, 123 al. 1 CPC et 19 RAJ), les frais seront provisoirement laissés à la charge de l'Etat de Genève lequel pourra en réclamer le remboursement ultérieurement aux conditions de l'art. 123 CPC. Le présent arrêt sera transmis au Service de l’assistance juridique, pour réexamen éventuel de la situation de l'appelant, au vu de l'absence de chances de succès de l'appel. Compte tenu de la nature familiale du litige, chaque partie supportera ses propres dépens d'appel. * * * * *</w:t>
      </w:r>
    </w:p>
    <w:p>
      <w:r>
        <w:t>- 14/14 -</w:t>
      </w:r>
    </w:p>
    <w:p>
      <w:r>
        <w:t>C/504/2021 PAR CES MOTIFS, La Chambre civile : A la forme : Déclare recevable l'appel interjeté le 13 février 2023 par A______ contre le jugement JTPI/12458/2022 rendu le 1er novembre 2023 par le Tribunal de première instance dans la cause C/504/2021. Au fond : Confirme le jugement entrepris. Déboute les parties de toutes autres conclusions. Sur les frais : Arrête les frais judiciaires d'appel à 800 fr., les met à la charge de A______, représenté par sa mère, B______, et dit qu'ils sont provisoirement supportés par l'Etat de Genève, sous réserve d’une nouvelle décision du Service de l’assistance juridique. Dit que chaque partie supporte ses propres dépens d'appel. Siégeant : Monsieur Cédric-Laurent MICHEL, président; Madame Pauline ERARD, Madame Paola CAMPOMAGNANI, juges; Madame Gladys REICHENBACH, greffière. Le président : Cédric-Laurent MICHEL</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décembre 2016 consid. 4.1). Pour les enfants, outre la part au loyer, les primes d'assurance-maladie obligatoire, les frais médicaux spécifiques, les frais de garde par des tiers et les frais scolaires doivent être ajoutés aux besoins de base (ATF 147 III 265 consid. 7.2). Lorsque les moyens financiers le permettent, l'entretien convenable doit être étendu au minimum vital du droit de la famille, étant précisé que les frais de loisirs, de voyages et de vacances ne font pas partie du minimum vital du droit de la famille et sont financés par un éventuel excédent de ressources de la famille après couverture du minimum vital de tous ses membres (ATF 147 III 265</w:t>
      </w:r>
    </w:p>
    <w:p>
      <w:r>
        <w:t>- 10/14 -</w:t>
      </w:r>
    </w:p>
    <w:p>
      <w:r>
        <w:t>C/504/2021 consid. 7.2; arrêt du Tribunal fédéral 5A_583/2018 du 18 janvier 2019 consid. 5.1). La jurisprudence admet la prise en compte de la part de frais médicaux non couverte par l'assurance de base pour autant que leur caractère régulier soit établi (ACJC/1085/2022 du 24 août 2022 consid. 3.2.3; ACJC/1674/2021 du</w:t>
      </w:r>
    </w:p>
    <w:p>
      <w:r>
        <w:rPr>
          <w:b/>
        </w:rPr>
        <w:t>E. 7</w:t>
      </w:r>
    </w:p>
    <w:p>
      <w:r>
        <w:t>décembre 2021 consid. 3.1.3). Seules les charges effectives, dont le débirentier s'acquitte réellement, doivent être prises en compte pour fixer les contributions d'entretien (ATF 121 III 20 consid. 3a; arrêt du Tribunal fédéral 5A_717/2019 du 20 avril 2020 consid. 3.1.2.2). Le minimum vital du droit des poursuites du parent débirentier doit dans tous les cas être préservé (ATF 140 III 337 consid. 4.3; arrêt du Tribunal fédéral 5A_103/2017 du 11 mai 2017 consid. 3.3.4.2). 3.1.4 Dans le cadre de la fixation d'une contribution d'entretien,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 Il est en revanche possible de s'écarter de la répartition par moitié en ce qui concerne les frais communs, tel que le loyer (ATF 137 III 59 consid. 4.2.2; arrêt du Tribunal fédéral 5A_855/2017 précité). Cette répartition peut s'effectuer en fonction de la capacité de gain effective ou hypothétique du concubin (ATF 137 III 59 consid. 4.2.2; arrêt du Tribunal fédéral 5A_855/2017 précité) et des circonstances. 3.1.5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w:t>
      </w:r>
    </w:p>
    <w:p>
      <w:r>
        <w:t>- 11/14 -</w:t>
      </w:r>
    </w:p>
    <w:p>
      <w:r>
        <w:t>C/504/2021 5A_517/2019 du 18 juillet 2019 consid. 5 et 5A_829/2012 du 7 mai 2013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